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897"/>
        <w:gridCol w:w="4138"/>
        <w:gridCol w:w="3313"/>
      </w:tblGrid>
      <w:tr w:rsidR="009C6025" w:rsidRPr="00113628" w14:paraId="112D1106" w14:textId="77777777" w:rsidTr="00192255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378E" w14:textId="61A21CBB" w:rsidR="00325E4D" w:rsidRPr="00113628" w:rsidRDefault="00153317" w:rsidP="005E2DE4">
            <w:pPr>
              <w:rPr>
                <w:rFonts w:ascii="Lato" w:hAnsi="Lato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70C0"/>
                <w:sz w:val="22"/>
                <w:szCs w:val="22"/>
              </w:rPr>
              <w:t xml:space="preserve">  </w:t>
            </w:r>
            <w:r w:rsidR="004E105D" w:rsidRPr="00113628">
              <w:rPr>
                <w:rFonts w:ascii="Lato" w:hAnsi="Lato"/>
                <w:noProof/>
                <w:sz w:val="22"/>
                <w:szCs w:val="22"/>
              </w:rPr>
              <w:drawing>
                <wp:inline distT="0" distB="0" distL="0" distR="0" wp14:anchorId="6BBE2C2C" wp14:editId="0949A1B1">
                  <wp:extent cx="1702547" cy="673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913" cy="67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507F" w14:textId="029999B2" w:rsidR="00325E4D" w:rsidRPr="00113628" w:rsidRDefault="00325E4D" w:rsidP="000C39F4">
            <w:pPr>
              <w:jc w:val="center"/>
              <w:rPr>
                <w:rFonts w:ascii="Lato" w:hAnsi="Lato"/>
                <w:b/>
                <w:bCs/>
                <w:color w:val="0070C0"/>
                <w:sz w:val="22"/>
                <w:szCs w:val="22"/>
              </w:rPr>
            </w:pPr>
            <w:r w:rsidRPr="00113628">
              <w:rPr>
                <w:rFonts w:ascii="Lato" w:hAnsi="Lato"/>
                <w:b/>
                <w:bCs/>
                <w:color w:val="0070C0"/>
                <w:sz w:val="22"/>
                <w:szCs w:val="22"/>
              </w:rPr>
              <w:t xml:space="preserve">The Heart of Yorkshire Fund </w:t>
            </w:r>
            <w:r w:rsidR="00F510EE" w:rsidRPr="00113628">
              <w:rPr>
                <w:rFonts w:ascii="Lato" w:hAnsi="Lato"/>
                <w:b/>
                <w:bCs/>
                <w:color w:val="0070C0"/>
                <w:sz w:val="22"/>
                <w:szCs w:val="22"/>
              </w:rPr>
              <w:t xml:space="preserve">for </w:t>
            </w:r>
            <w:r w:rsidR="004E105D" w:rsidRPr="00113628">
              <w:rPr>
                <w:rFonts w:ascii="Lato" w:hAnsi="Lato"/>
                <w:b/>
                <w:bCs/>
                <w:color w:val="0070C0"/>
                <w:sz w:val="22"/>
                <w:szCs w:val="22"/>
              </w:rPr>
              <w:t xml:space="preserve">the </w:t>
            </w:r>
            <w:r w:rsidR="00F510EE" w:rsidRPr="00113628">
              <w:rPr>
                <w:rFonts w:ascii="Lato" w:hAnsi="Lato"/>
                <w:b/>
                <w:bCs/>
                <w:color w:val="0070C0"/>
                <w:sz w:val="22"/>
                <w:szCs w:val="22"/>
              </w:rPr>
              <w:t>Selby District</w:t>
            </w:r>
          </w:p>
          <w:p w14:paraId="33E96B3B" w14:textId="516E90E0" w:rsidR="00325E4D" w:rsidRPr="00113628" w:rsidRDefault="00325E4D" w:rsidP="000C39F4">
            <w:pPr>
              <w:jc w:val="center"/>
              <w:rPr>
                <w:rFonts w:ascii="Lato" w:hAnsi="Lato"/>
                <w:noProof/>
                <w:sz w:val="22"/>
                <w:szCs w:val="22"/>
              </w:rPr>
            </w:pPr>
            <w:r w:rsidRPr="00113628">
              <w:rPr>
                <w:rFonts w:ascii="Lato" w:hAnsi="Lato"/>
                <w:b/>
                <w:bCs/>
                <w:noProof/>
                <w:sz w:val="22"/>
                <w:szCs w:val="22"/>
              </w:rPr>
              <w:t>Guidance Notes</w:t>
            </w:r>
            <w:r w:rsidR="000C39F4" w:rsidRPr="00113628">
              <w:rPr>
                <w:rFonts w:ascii="Lato" w:hAnsi="Lato"/>
                <w:b/>
                <w:bCs/>
                <w:noProof/>
                <w:sz w:val="22"/>
                <w:szCs w:val="22"/>
              </w:rPr>
              <w:t xml:space="preserve"> 2026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3735A" w14:textId="7A775440" w:rsidR="00325E4D" w:rsidRPr="00113628" w:rsidRDefault="00EF3EC2" w:rsidP="00192255">
            <w:pPr>
              <w:rPr>
                <w:rFonts w:ascii="Lato" w:hAnsi="Lato"/>
                <w:b/>
                <w:noProof/>
                <w:sz w:val="22"/>
                <w:szCs w:val="22"/>
              </w:rPr>
            </w:pPr>
            <w:r w:rsidRPr="00113628">
              <w:rPr>
                <w:rFonts w:ascii="Lato" w:hAnsi="Lato"/>
                <w:noProof/>
                <w:sz w:val="22"/>
                <w:szCs w:val="22"/>
              </w:rPr>
              <w:drawing>
                <wp:inline distT="0" distB="0" distL="0" distR="0" wp14:anchorId="2403EFA1" wp14:editId="68E5AA9D">
                  <wp:extent cx="1966913" cy="1123950"/>
                  <wp:effectExtent l="0" t="0" r="0" b="0"/>
                  <wp:docPr id="359045661" name="Picture 1" descr="A logo for a community found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45661" name="Picture 1" descr="A logo for a community foundati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317" cy="113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4856B" w14:textId="747A6465" w:rsidR="007848E8" w:rsidRPr="00113628" w:rsidRDefault="007848E8" w:rsidP="00113628">
      <w:pPr>
        <w:pStyle w:val="Heading2"/>
        <w:spacing w:after="0"/>
      </w:pPr>
      <w:r w:rsidRPr="00113628">
        <w:t>Overview</w:t>
      </w:r>
    </w:p>
    <w:p w14:paraId="5012186C" w14:textId="2727A532" w:rsidR="001A24B9" w:rsidRPr="00113628" w:rsidRDefault="007F2525" w:rsidP="6F794FE2">
      <w:pPr>
        <w:rPr>
          <w:rFonts w:ascii="Lato" w:hAnsi="Lato"/>
          <w:noProof/>
          <w:color w:val="000000" w:themeColor="text1"/>
          <w:sz w:val="22"/>
          <w:szCs w:val="22"/>
        </w:rPr>
      </w:pPr>
      <w:r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The </w:t>
      </w:r>
      <w:r w:rsidR="007E1C43" w:rsidRPr="00113628">
        <w:rPr>
          <w:rFonts w:ascii="Lato" w:hAnsi="Lato"/>
          <w:noProof/>
          <w:sz w:val="22"/>
          <w:szCs w:val="22"/>
        </w:rPr>
        <w:t>Heart of Yorkshire</w:t>
      </w:r>
      <w:r w:rsidR="00876BFC" w:rsidRPr="00113628">
        <w:rPr>
          <w:rFonts w:ascii="Lato" w:hAnsi="Lato"/>
          <w:noProof/>
          <w:sz w:val="22"/>
          <w:szCs w:val="22"/>
        </w:rPr>
        <w:t xml:space="preserve"> Fund</w:t>
      </w:r>
      <w:r w:rsidR="006964E4" w:rsidRPr="00113628">
        <w:rPr>
          <w:rFonts w:ascii="Lato" w:hAnsi="Lato"/>
          <w:noProof/>
          <w:sz w:val="22"/>
          <w:szCs w:val="22"/>
        </w:rPr>
        <w:t xml:space="preserve"> for</w:t>
      </w:r>
      <w:r w:rsidR="00876BFC" w:rsidRPr="00113628">
        <w:rPr>
          <w:rFonts w:ascii="Lato" w:hAnsi="Lato"/>
          <w:noProof/>
          <w:sz w:val="22"/>
          <w:szCs w:val="22"/>
        </w:rPr>
        <w:t xml:space="preserve"> the</w:t>
      </w:r>
      <w:r w:rsidR="00F510EE" w:rsidRPr="00113628">
        <w:rPr>
          <w:rFonts w:ascii="Lato" w:hAnsi="Lato"/>
          <w:noProof/>
          <w:sz w:val="22"/>
          <w:szCs w:val="22"/>
        </w:rPr>
        <w:t xml:space="preserve"> </w:t>
      </w:r>
      <w:r w:rsidR="006964E4" w:rsidRPr="00113628">
        <w:rPr>
          <w:rFonts w:ascii="Lato" w:hAnsi="Lato"/>
          <w:noProof/>
          <w:sz w:val="22"/>
          <w:szCs w:val="22"/>
        </w:rPr>
        <w:t>Selby</w:t>
      </w:r>
      <w:r w:rsidRPr="00113628">
        <w:rPr>
          <w:rFonts w:ascii="Lato" w:hAnsi="Lato"/>
          <w:noProof/>
          <w:sz w:val="22"/>
          <w:szCs w:val="22"/>
        </w:rPr>
        <w:t xml:space="preserve"> </w:t>
      </w:r>
      <w:r w:rsidR="00553123" w:rsidRPr="00113628">
        <w:rPr>
          <w:rFonts w:ascii="Lato" w:hAnsi="Lato"/>
          <w:noProof/>
          <w:sz w:val="22"/>
          <w:szCs w:val="22"/>
        </w:rPr>
        <w:t>D</w:t>
      </w:r>
      <w:r w:rsidR="00F510EE" w:rsidRPr="00113628">
        <w:rPr>
          <w:rFonts w:ascii="Lato" w:hAnsi="Lato"/>
          <w:noProof/>
          <w:sz w:val="22"/>
          <w:szCs w:val="22"/>
        </w:rPr>
        <w:t>istrict</w:t>
      </w:r>
      <w:r w:rsidR="00EE453F" w:rsidRPr="00113628">
        <w:rPr>
          <w:rFonts w:ascii="Lato" w:hAnsi="Lato"/>
          <w:noProof/>
          <w:sz w:val="22"/>
          <w:szCs w:val="22"/>
        </w:rPr>
        <w:t>,</w:t>
      </w:r>
      <w:r w:rsidR="00876BFC" w:rsidRPr="00113628">
        <w:rPr>
          <w:rFonts w:ascii="Lato" w:hAnsi="Lato"/>
          <w:noProof/>
          <w:sz w:val="22"/>
          <w:szCs w:val="22"/>
        </w:rPr>
        <w:t xml:space="preserve"> </w:t>
      </w:r>
      <w:r w:rsidR="00F40A07" w:rsidRPr="00113628">
        <w:rPr>
          <w:rFonts w:ascii="Lato" w:hAnsi="Lato"/>
          <w:noProof/>
          <w:sz w:val="22"/>
          <w:szCs w:val="22"/>
        </w:rPr>
        <w:t xml:space="preserve">was </w:t>
      </w:r>
      <w:r w:rsidRPr="00113628">
        <w:rPr>
          <w:rFonts w:ascii="Lato" w:hAnsi="Lato"/>
          <w:noProof/>
          <w:sz w:val="22"/>
          <w:szCs w:val="22"/>
        </w:rPr>
        <w:t>established</w:t>
      </w:r>
      <w:r w:rsidR="000F15F7" w:rsidRPr="00113628">
        <w:rPr>
          <w:rFonts w:ascii="Lato" w:hAnsi="Lato"/>
          <w:noProof/>
          <w:sz w:val="22"/>
          <w:szCs w:val="22"/>
        </w:rPr>
        <w:t xml:space="preserve"> </w:t>
      </w:r>
      <w:r w:rsidR="000F15F7" w:rsidRPr="00113628">
        <w:rPr>
          <w:rFonts w:ascii="Lato" w:hAnsi="Lato"/>
          <w:noProof/>
          <w:color w:val="000000" w:themeColor="text1"/>
          <w:sz w:val="22"/>
          <w:szCs w:val="22"/>
        </w:rPr>
        <w:t>by a £2million</w:t>
      </w:r>
      <w:r w:rsidR="00032E1B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donation</w:t>
      </w:r>
      <w:r w:rsidR="0051635C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from Selby District Council</w:t>
      </w:r>
      <w:r w:rsidR="00B24CC2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, </w:t>
      </w:r>
      <w:r w:rsidR="00032E1B" w:rsidRPr="00113628">
        <w:rPr>
          <w:rFonts w:ascii="Lato" w:hAnsi="Lato"/>
          <w:noProof/>
          <w:color w:val="000000" w:themeColor="text1"/>
          <w:sz w:val="22"/>
          <w:szCs w:val="22"/>
        </w:rPr>
        <w:t>invested as an endowment fund</w:t>
      </w:r>
      <w:r w:rsidR="0051635C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with </w:t>
      </w:r>
      <w:r w:rsidR="00524A45" w:rsidRPr="00113628">
        <w:rPr>
          <w:rFonts w:ascii="Lato" w:hAnsi="Lato"/>
          <w:noProof/>
          <w:color w:val="000000" w:themeColor="text1"/>
          <w:sz w:val="22"/>
          <w:szCs w:val="22"/>
        </w:rPr>
        <w:t>Two Ridings Community Foundation</w:t>
      </w:r>
      <w:r w:rsidR="000F15F7" w:rsidRPr="00113628">
        <w:rPr>
          <w:rFonts w:ascii="Lato" w:hAnsi="Lato"/>
          <w:noProof/>
          <w:color w:val="000000" w:themeColor="text1"/>
          <w:sz w:val="22"/>
          <w:szCs w:val="22"/>
        </w:rPr>
        <w:t>.</w:t>
      </w:r>
      <w:r w:rsidR="00524A45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</w:t>
      </w:r>
      <w:r w:rsidR="0067284D" w:rsidRPr="00113628">
        <w:rPr>
          <w:rFonts w:ascii="Lato" w:hAnsi="Lato"/>
          <w:noProof/>
          <w:color w:val="000000" w:themeColor="text1"/>
          <w:sz w:val="22"/>
          <w:szCs w:val="22"/>
        </w:rPr>
        <w:t>The annual interest from this endowm</w:t>
      </w:r>
      <w:r w:rsidR="007F66E5" w:rsidRPr="00113628">
        <w:rPr>
          <w:rFonts w:ascii="Lato" w:hAnsi="Lato"/>
          <w:noProof/>
          <w:color w:val="000000" w:themeColor="text1"/>
          <w:sz w:val="22"/>
          <w:szCs w:val="22"/>
        </w:rPr>
        <w:t>e</w:t>
      </w:r>
      <w:r w:rsidR="0067284D" w:rsidRPr="00113628">
        <w:rPr>
          <w:rFonts w:ascii="Lato" w:hAnsi="Lato"/>
          <w:noProof/>
          <w:color w:val="000000" w:themeColor="text1"/>
          <w:sz w:val="22"/>
          <w:szCs w:val="22"/>
        </w:rPr>
        <w:t>nt will be awarded in grants to support local people to deliver activities in their community, year on year, forever.</w:t>
      </w:r>
      <w:r w:rsidR="002F7735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</w:t>
      </w:r>
    </w:p>
    <w:p w14:paraId="6762D61D" w14:textId="77777777" w:rsidR="001A24B9" w:rsidRPr="00113628" w:rsidRDefault="001A24B9" w:rsidP="6F794FE2">
      <w:pPr>
        <w:rPr>
          <w:rFonts w:ascii="Lato" w:hAnsi="Lato"/>
          <w:noProof/>
          <w:color w:val="000000" w:themeColor="text1"/>
          <w:sz w:val="22"/>
          <w:szCs w:val="22"/>
        </w:rPr>
      </w:pPr>
    </w:p>
    <w:p w14:paraId="4EC28C21" w14:textId="09D5B115" w:rsidR="00527418" w:rsidRPr="00113628" w:rsidRDefault="00032E1B" w:rsidP="00527418">
      <w:pPr>
        <w:rPr>
          <w:rFonts w:ascii="Lato" w:hAnsi="Lato"/>
          <w:noProof/>
          <w:color w:val="000000" w:themeColor="text1"/>
          <w:sz w:val="22"/>
          <w:szCs w:val="22"/>
        </w:rPr>
      </w:pPr>
      <w:r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This fund </w:t>
      </w:r>
      <w:r w:rsidR="000F15F7" w:rsidRPr="00113628">
        <w:rPr>
          <w:rFonts w:ascii="Lato" w:hAnsi="Lato"/>
          <w:noProof/>
          <w:color w:val="000000" w:themeColor="text1"/>
          <w:sz w:val="22"/>
          <w:szCs w:val="22"/>
        </w:rPr>
        <w:t>provide</w:t>
      </w:r>
      <w:r w:rsidR="00C70827" w:rsidRPr="00113628">
        <w:rPr>
          <w:rFonts w:ascii="Lato" w:hAnsi="Lato"/>
          <w:noProof/>
          <w:color w:val="000000" w:themeColor="text1"/>
          <w:sz w:val="22"/>
          <w:szCs w:val="22"/>
        </w:rPr>
        <w:t>s</w:t>
      </w:r>
      <w:r w:rsidR="000F15F7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the local community with a lasting legacy</w:t>
      </w:r>
      <w:r w:rsidR="00C70827" w:rsidRPr="00113628">
        <w:rPr>
          <w:rFonts w:ascii="Lato" w:hAnsi="Lato"/>
          <w:noProof/>
          <w:color w:val="000000" w:themeColor="text1"/>
          <w:sz w:val="22"/>
          <w:szCs w:val="22"/>
        </w:rPr>
        <w:t>:</w:t>
      </w:r>
      <w:r w:rsidR="009259A7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</w:t>
      </w:r>
      <w:r w:rsidR="007F2525" w:rsidRPr="00113628">
        <w:rPr>
          <w:rFonts w:ascii="Lato" w:hAnsi="Lato"/>
          <w:noProof/>
          <w:color w:val="000000" w:themeColor="text1"/>
          <w:sz w:val="22"/>
          <w:szCs w:val="22"/>
        </w:rPr>
        <w:t>support</w:t>
      </w:r>
      <w:r w:rsidR="009259A7" w:rsidRPr="00113628">
        <w:rPr>
          <w:rFonts w:ascii="Lato" w:hAnsi="Lato"/>
          <w:noProof/>
          <w:color w:val="000000" w:themeColor="text1"/>
          <w:sz w:val="22"/>
          <w:szCs w:val="22"/>
        </w:rPr>
        <w:t>ing</w:t>
      </w:r>
      <w:r w:rsidR="007F2525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local charitable activity in the </w:t>
      </w:r>
      <w:r w:rsidR="004128AA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former </w:t>
      </w:r>
      <w:r w:rsidR="007F2525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Selby District </w:t>
      </w:r>
      <w:r w:rsidR="00F40A07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in a way </w:t>
      </w:r>
      <w:r w:rsidR="007F2525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that meets the identified needs in the area. </w:t>
      </w:r>
      <w:r w:rsidR="00527418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Since the fund was established, Selby District Council has become part of North Yorkshire Council. </w:t>
      </w:r>
    </w:p>
    <w:p w14:paraId="6D07127C" w14:textId="4116044C" w:rsidR="004839AC" w:rsidRPr="00113628" w:rsidRDefault="0037617F" w:rsidP="00113628">
      <w:pPr>
        <w:pStyle w:val="Heading2"/>
        <w:spacing w:after="0"/>
        <w:rPr>
          <w:noProof/>
        </w:rPr>
      </w:pPr>
      <w:r w:rsidRPr="00113628">
        <w:rPr>
          <w:noProof/>
        </w:rPr>
        <w:t xml:space="preserve">Fund </w:t>
      </w:r>
      <w:r w:rsidRPr="00113628">
        <w:t>p</w:t>
      </w:r>
      <w:r w:rsidR="002664FD" w:rsidRPr="00113628">
        <w:t>riorities</w:t>
      </w:r>
      <w:r w:rsidR="00434753" w:rsidRPr="00113628">
        <w:rPr>
          <w:noProof/>
        </w:rPr>
        <w:t xml:space="preserve"> </w:t>
      </w:r>
    </w:p>
    <w:p w14:paraId="08A8FB9A" w14:textId="03A3B84E" w:rsidR="005A0336" w:rsidRPr="00113628" w:rsidRDefault="001414F1" w:rsidP="6F794FE2">
      <w:pPr>
        <w:rPr>
          <w:rFonts w:ascii="Lato" w:hAnsi="Lato"/>
          <w:noProof/>
          <w:color w:val="000000" w:themeColor="text1"/>
          <w:sz w:val="22"/>
          <w:szCs w:val="22"/>
        </w:rPr>
      </w:pPr>
      <w:r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This fund supports groups </w:t>
      </w:r>
      <w:r w:rsidR="00E562CE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providing </w:t>
      </w:r>
      <w:r w:rsidR="00105CBC" w:rsidRPr="00113628">
        <w:rPr>
          <w:rFonts w:ascii="Lato" w:hAnsi="Lato"/>
          <w:noProof/>
          <w:color w:val="000000" w:themeColor="text1"/>
          <w:sz w:val="22"/>
          <w:szCs w:val="22"/>
        </w:rPr>
        <w:t>activity for the wellbeing of people in the Selby area (please see the map below</w:t>
      </w:r>
      <w:r w:rsidR="00E562CE" w:rsidRPr="00113628">
        <w:rPr>
          <w:rFonts w:ascii="Lato" w:hAnsi="Lato"/>
          <w:noProof/>
          <w:color w:val="000000" w:themeColor="text1"/>
          <w:sz w:val="22"/>
          <w:szCs w:val="22"/>
        </w:rPr>
        <w:t>)</w:t>
      </w:r>
      <w:r w:rsidRPr="00113628">
        <w:rPr>
          <w:rFonts w:ascii="Lato" w:hAnsi="Lato"/>
          <w:noProof/>
          <w:color w:val="000000" w:themeColor="text1"/>
          <w:sz w:val="22"/>
          <w:szCs w:val="22"/>
        </w:rPr>
        <w:t>. Organisations</w:t>
      </w:r>
      <w:r w:rsidR="00105CBC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</w:t>
      </w:r>
      <w:r w:rsidR="00E562CE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should </w:t>
      </w:r>
      <w:r w:rsidR="005974F2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clearing demonstrate </w:t>
      </w:r>
      <w:r w:rsidR="003463F1" w:rsidRPr="00113628">
        <w:rPr>
          <w:rFonts w:ascii="Lato" w:hAnsi="Lato"/>
          <w:noProof/>
          <w:color w:val="000000" w:themeColor="text1"/>
          <w:sz w:val="22"/>
          <w:szCs w:val="22"/>
        </w:rPr>
        <w:t>how they are addressing</w:t>
      </w:r>
      <w:r w:rsidR="00527418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 </w:t>
      </w:r>
      <w:r w:rsidR="00701524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local need in at least one of the </w:t>
      </w:r>
      <w:r w:rsidR="007848E8" w:rsidRPr="00113628">
        <w:rPr>
          <w:rFonts w:ascii="Lato" w:hAnsi="Lato"/>
          <w:noProof/>
          <w:color w:val="000000" w:themeColor="text1"/>
          <w:sz w:val="22"/>
          <w:szCs w:val="22"/>
        </w:rPr>
        <w:t xml:space="preserve">following </w:t>
      </w:r>
      <w:r w:rsidR="00701524" w:rsidRPr="00113628">
        <w:rPr>
          <w:rFonts w:ascii="Lato" w:hAnsi="Lato"/>
          <w:noProof/>
          <w:color w:val="000000" w:themeColor="text1"/>
          <w:sz w:val="22"/>
          <w:szCs w:val="22"/>
        </w:rPr>
        <w:t>area</w:t>
      </w:r>
      <w:r w:rsidR="00527418" w:rsidRPr="00113628">
        <w:rPr>
          <w:rFonts w:ascii="Lato" w:hAnsi="Lato"/>
          <w:noProof/>
          <w:color w:val="000000" w:themeColor="text1"/>
          <w:sz w:val="22"/>
          <w:szCs w:val="22"/>
        </w:rPr>
        <w:t>s</w:t>
      </w:r>
      <w:r w:rsidR="00084730" w:rsidRPr="00113628">
        <w:rPr>
          <w:rFonts w:ascii="Lato" w:hAnsi="Lato"/>
          <w:noProof/>
          <w:color w:val="000000" w:themeColor="text1"/>
          <w:sz w:val="22"/>
          <w:szCs w:val="22"/>
        </w:rPr>
        <w:t>:</w:t>
      </w:r>
    </w:p>
    <w:p w14:paraId="21066301" w14:textId="77777777" w:rsidR="00AA4E82" w:rsidRPr="00113628" w:rsidRDefault="00AA4E82" w:rsidP="00CD63E4">
      <w:pPr>
        <w:jc w:val="both"/>
        <w:rPr>
          <w:rFonts w:ascii="Lato" w:hAnsi="Lato"/>
          <w:bCs/>
          <w:noProof/>
          <w:color w:val="000000"/>
          <w:sz w:val="22"/>
          <w:szCs w:val="22"/>
        </w:rPr>
      </w:pPr>
    </w:p>
    <w:p w14:paraId="5F6C2343" w14:textId="10D4355E" w:rsidR="00794D2B" w:rsidRPr="00113628" w:rsidRDefault="00CD63E4" w:rsidP="00B32D0A">
      <w:pPr>
        <w:spacing w:after="80"/>
        <w:jc w:val="both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/>
          <w:noProof/>
          <w:color w:val="000000"/>
          <w:sz w:val="22"/>
          <w:szCs w:val="22"/>
        </w:rPr>
        <w:t>Health and wellbeing</w:t>
      </w:r>
      <w:r w:rsidR="00E870A5" w:rsidRPr="00113628">
        <w:rPr>
          <w:rFonts w:ascii="Lato" w:hAnsi="Lato"/>
          <w:b/>
          <w:noProof/>
          <w:color w:val="000000"/>
          <w:sz w:val="22"/>
          <w:szCs w:val="22"/>
        </w:rPr>
        <w:t xml:space="preserve"> </w:t>
      </w:r>
    </w:p>
    <w:p w14:paraId="5C81333D" w14:textId="06DC5E95" w:rsidR="00CD63E4" w:rsidRPr="00113628" w:rsidRDefault="005A0336" w:rsidP="00B32D0A">
      <w:pPr>
        <w:numPr>
          <w:ilvl w:val="0"/>
          <w:numId w:val="18"/>
        </w:num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s</w:t>
      </w:r>
      <w:r w:rsidR="00E27D7F"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upport </w:t>
      </w:r>
      <w:r w:rsidR="00CD63E4" w:rsidRPr="00113628">
        <w:rPr>
          <w:rFonts w:ascii="Lato" w:hAnsi="Lato"/>
          <w:bCs/>
          <w:noProof/>
          <w:color w:val="000000"/>
          <w:sz w:val="22"/>
          <w:szCs w:val="22"/>
        </w:rPr>
        <w:t>older and vulnerable people to live dignified, productive and healthy lifestyles</w:t>
      </w:r>
    </w:p>
    <w:p w14:paraId="63978419" w14:textId="522105E3" w:rsidR="00CD63E4" w:rsidRPr="00113628" w:rsidRDefault="005A0336" w:rsidP="00B32D0A">
      <w:pPr>
        <w:numPr>
          <w:ilvl w:val="0"/>
          <w:numId w:val="18"/>
        </w:num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s</w:t>
      </w:r>
      <w:r w:rsidR="00E27D7F"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upport </w:t>
      </w:r>
      <w:r w:rsidR="00CD63E4" w:rsidRPr="00113628">
        <w:rPr>
          <w:rFonts w:ascii="Lato" w:hAnsi="Lato"/>
          <w:bCs/>
          <w:noProof/>
          <w:color w:val="000000"/>
          <w:sz w:val="22"/>
          <w:szCs w:val="22"/>
        </w:rPr>
        <w:t>children and young people to access and enjoy healthy lifestyles (this could be physical activity, access to the outdoors, improving their mental wellbeing)</w:t>
      </w:r>
    </w:p>
    <w:p w14:paraId="46B3A439" w14:textId="72829457" w:rsidR="00CD63E4" w:rsidRPr="00113628" w:rsidRDefault="005A0336" w:rsidP="00B32D0A">
      <w:pPr>
        <w:numPr>
          <w:ilvl w:val="0"/>
          <w:numId w:val="18"/>
        </w:num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i</w:t>
      </w:r>
      <w:r w:rsidR="00D835A8" w:rsidRPr="00113628">
        <w:rPr>
          <w:rFonts w:ascii="Lato" w:hAnsi="Lato"/>
          <w:bCs/>
          <w:noProof/>
          <w:color w:val="000000"/>
          <w:sz w:val="22"/>
          <w:szCs w:val="22"/>
        </w:rPr>
        <w:t>mprove mental health and wellbeing</w:t>
      </w:r>
      <w:r w:rsidR="00B32D0A" w:rsidRPr="00113628">
        <w:rPr>
          <w:rFonts w:ascii="Lato" w:hAnsi="Lato"/>
          <w:bCs/>
          <w:noProof/>
          <w:color w:val="000000"/>
          <w:sz w:val="22"/>
          <w:szCs w:val="22"/>
        </w:rPr>
        <w:t>.</w:t>
      </w:r>
    </w:p>
    <w:p w14:paraId="0566C648" w14:textId="6D8D2F87" w:rsidR="0040654E" w:rsidRPr="00113628" w:rsidRDefault="00D835A8" w:rsidP="00B32D0A">
      <w:p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/>
          <w:noProof/>
          <w:color w:val="000000"/>
          <w:sz w:val="22"/>
          <w:szCs w:val="22"/>
        </w:rPr>
        <w:t>Education and Training</w:t>
      </w:r>
      <w:r w:rsidR="00E870A5" w:rsidRPr="00113628">
        <w:rPr>
          <w:rFonts w:ascii="Lato" w:hAnsi="Lato"/>
          <w:b/>
          <w:noProof/>
          <w:color w:val="000000"/>
          <w:sz w:val="22"/>
          <w:szCs w:val="22"/>
        </w:rPr>
        <w:t xml:space="preserve"> </w:t>
      </w:r>
    </w:p>
    <w:p w14:paraId="3600CB45" w14:textId="1681B8D5" w:rsidR="00083D6D" w:rsidRPr="00113628" w:rsidRDefault="00AB3F61" w:rsidP="00B32D0A">
      <w:pPr>
        <w:numPr>
          <w:ilvl w:val="0"/>
          <w:numId w:val="18"/>
        </w:num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develop </w:t>
      </w:r>
      <w:r w:rsidR="00B9138E" w:rsidRPr="00113628">
        <w:rPr>
          <w:rFonts w:ascii="Lato" w:hAnsi="Lato"/>
          <w:bCs/>
          <w:noProof/>
          <w:color w:val="000000"/>
          <w:sz w:val="22"/>
          <w:szCs w:val="22"/>
        </w:rPr>
        <w:t>employability skills</w:t>
      </w:r>
      <w:r w:rsidR="00B32D0A" w:rsidRPr="00113628">
        <w:rPr>
          <w:rFonts w:ascii="Lato" w:hAnsi="Lato"/>
          <w:bCs/>
          <w:noProof/>
          <w:color w:val="000000"/>
          <w:sz w:val="22"/>
          <w:szCs w:val="22"/>
        </w:rPr>
        <w:t>.</w:t>
      </w:r>
    </w:p>
    <w:p w14:paraId="5782F320" w14:textId="099C7429" w:rsidR="00083D6D" w:rsidRPr="00113628" w:rsidRDefault="00083D6D" w:rsidP="00B32D0A">
      <w:pPr>
        <w:numPr>
          <w:ilvl w:val="0"/>
          <w:numId w:val="18"/>
        </w:num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provide volunteering opportunities</w:t>
      </w:r>
      <w:r w:rsidR="00B32D0A" w:rsidRPr="00113628">
        <w:rPr>
          <w:rFonts w:ascii="Lato" w:hAnsi="Lato"/>
          <w:bCs/>
          <w:noProof/>
          <w:color w:val="000000"/>
          <w:sz w:val="22"/>
          <w:szCs w:val="22"/>
        </w:rPr>
        <w:t>.</w:t>
      </w:r>
    </w:p>
    <w:p w14:paraId="2076656D" w14:textId="5C653BF6" w:rsidR="002616AD" w:rsidRPr="00113628" w:rsidRDefault="00083D6D" w:rsidP="00B32D0A">
      <w:p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/>
          <w:noProof/>
          <w:color w:val="000000"/>
          <w:sz w:val="22"/>
          <w:szCs w:val="22"/>
        </w:rPr>
        <w:t>Environment</w:t>
      </w:r>
      <w:r w:rsidR="00E870A5" w:rsidRPr="00113628">
        <w:rPr>
          <w:rFonts w:ascii="Lato" w:hAnsi="Lato"/>
          <w:b/>
          <w:noProof/>
          <w:color w:val="000000"/>
          <w:sz w:val="22"/>
          <w:szCs w:val="22"/>
        </w:rPr>
        <w:t xml:space="preserve"> </w:t>
      </w:r>
    </w:p>
    <w:p w14:paraId="0132A3DB" w14:textId="55047F38" w:rsidR="00083D6D" w:rsidRPr="00113628" w:rsidRDefault="00083D6D" w:rsidP="00B32D0A">
      <w:pPr>
        <w:numPr>
          <w:ilvl w:val="0"/>
          <w:numId w:val="18"/>
        </w:num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increased biodiversity</w:t>
      </w:r>
    </w:p>
    <w:p w14:paraId="0EC4AFF9" w14:textId="28917A5C" w:rsidR="002664FD" w:rsidRPr="00113628" w:rsidRDefault="002664FD" w:rsidP="00B32D0A">
      <w:pPr>
        <w:numPr>
          <w:ilvl w:val="0"/>
          <w:numId w:val="18"/>
        </w:numPr>
        <w:spacing w:after="80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support environmental improvements</w:t>
      </w:r>
    </w:p>
    <w:p w14:paraId="4A8D480B" w14:textId="3A7893B8" w:rsidR="00D835A8" w:rsidRPr="00113628" w:rsidRDefault="002664FD" w:rsidP="00B32D0A">
      <w:pPr>
        <w:spacing w:after="80"/>
        <w:jc w:val="both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/>
          <w:noProof/>
          <w:color w:val="000000"/>
          <w:sz w:val="22"/>
          <w:szCs w:val="22"/>
        </w:rPr>
        <w:t xml:space="preserve">Community Sector </w:t>
      </w:r>
      <w:r w:rsidR="00AB3F61" w:rsidRPr="00113628">
        <w:rPr>
          <w:rFonts w:ascii="Lato" w:hAnsi="Lato"/>
          <w:b/>
          <w:noProof/>
          <w:color w:val="000000"/>
          <w:sz w:val="22"/>
          <w:szCs w:val="22"/>
        </w:rPr>
        <w:t xml:space="preserve">Resilience </w:t>
      </w:r>
    </w:p>
    <w:p w14:paraId="4B858074" w14:textId="06548787" w:rsidR="00792115" w:rsidRPr="00113628" w:rsidRDefault="002664FD" w:rsidP="00B32D0A">
      <w:pPr>
        <w:numPr>
          <w:ilvl w:val="0"/>
          <w:numId w:val="18"/>
        </w:numPr>
        <w:spacing w:after="80"/>
        <w:jc w:val="both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community spaces </w:t>
      </w:r>
      <w:r w:rsidR="00B0258C"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providing significant community value </w:t>
      </w:r>
      <w:r w:rsidRPr="00113628">
        <w:rPr>
          <w:rFonts w:ascii="Lato" w:hAnsi="Lato"/>
          <w:bCs/>
          <w:noProof/>
          <w:color w:val="000000"/>
          <w:sz w:val="22"/>
          <w:szCs w:val="22"/>
        </w:rPr>
        <w:t>requiring funding to stay open</w:t>
      </w:r>
      <w:r w:rsidR="00B32D0A" w:rsidRPr="00113628">
        <w:rPr>
          <w:rFonts w:ascii="Lato" w:hAnsi="Lato"/>
          <w:bCs/>
          <w:noProof/>
          <w:color w:val="000000"/>
          <w:sz w:val="22"/>
          <w:szCs w:val="22"/>
        </w:rPr>
        <w:t>.</w:t>
      </w:r>
    </w:p>
    <w:p w14:paraId="284A7CE5" w14:textId="77777777" w:rsidR="004839AC" w:rsidRPr="00113628" w:rsidRDefault="004839AC" w:rsidP="008029C1">
      <w:pPr>
        <w:jc w:val="both"/>
        <w:rPr>
          <w:rFonts w:ascii="Lato" w:hAnsi="Lato"/>
          <w:bCs/>
          <w:noProof/>
          <w:color w:val="000000"/>
          <w:sz w:val="22"/>
          <w:szCs w:val="22"/>
        </w:rPr>
      </w:pPr>
    </w:p>
    <w:p w14:paraId="4CA61876" w14:textId="56461541" w:rsidR="0040797A" w:rsidRPr="00113628" w:rsidRDefault="00632759" w:rsidP="0040797A">
      <w:p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We are also particularly interested in applications where people with lived experience (experts by experience) of the issues being addressed are involved with the design of the project and/or the running of the organisation</w:t>
      </w:r>
      <w:r w:rsidR="009A5675"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 / delivering the project</w:t>
      </w:r>
      <w:r w:rsidRPr="00113628">
        <w:rPr>
          <w:rFonts w:ascii="Lato" w:hAnsi="Lato"/>
          <w:bCs/>
          <w:noProof/>
          <w:color w:val="000000"/>
          <w:sz w:val="22"/>
          <w:szCs w:val="22"/>
        </w:rPr>
        <w:t>.</w:t>
      </w:r>
    </w:p>
    <w:p w14:paraId="14E6EEAF" w14:textId="77777777" w:rsidR="005E348D" w:rsidRPr="00113628" w:rsidRDefault="005E348D" w:rsidP="00AB1A0E">
      <w:pPr>
        <w:pStyle w:val="Heading2"/>
        <w:spacing w:after="0"/>
      </w:pPr>
      <w:r w:rsidRPr="00113628">
        <w:t>Who can apply?</w:t>
      </w:r>
    </w:p>
    <w:p w14:paraId="0435C013" w14:textId="0490ECD2" w:rsidR="00233219" w:rsidRDefault="00233219" w:rsidP="00233219">
      <w:pPr>
        <w:rPr>
          <w:rFonts w:ascii="Lato" w:hAnsi="Lato"/>
          <w:sz w:val="22"/>
          <w:szCs w:val="22"/>
        </w:rPr>
      </w:pPr>
      <w:r w:rsidRPr="00684CD2">
        <w:rPr>
          <w:rFonts w:ascii="Lato" w:hAnsi="Lato"/>
          <w:sz w:val="22"/>
          <w:szCs w:val="22"/>
        </w:rPr>
        <w:t>Th</w:t>
      </w:r>
      <w:r>
        <w:rPr>
          <w:rFonts w:ascii="Lato" w:hAnsi="Lato"/>
          <w:sz w:val="22"/>
          <w:szCs w:val="22"/>
        </w:rPr>
        <w:t>is</w:t>
      </w:r>
      <w:r w:rsidRPr="00684CD2">
        <w:rPr>
          <w:rFonts w:ascii="Lato" w:hAnsi="Lato"/>
          <w:sz w:val="22"/>
          <w:szCs w:val="22"/>
        </w:rPr>
        <w:t xml:space="preserve"> fund is open to organisations whose activities take place within </w:t>
      </w:r>
      <w:r w:rsidR="004D6DF8" w:rsidRPr="00113628">
        <w:rPr>
          <w:rFonts w:ascii="Lato" w:hAnsi="Lato"/>
          <w:sz w:val="22"/>
          <w:szCs w:val="22"/>
        </w:rPr>
        <w:t>former Selby district</w:t>
      </w:r>
      <w:r w:rsidR="004D6DF8">
        <w:rPr>
          <w:rFonts w:ascii="Lato" w:hAnsi="Lato"/>
          <w:sz w:val="22"/>
          <w:szCs w:val="22"/>
        </w:rPr>
        <w:t>,</w:t>
      </w:r>
      <w:r w:rsidRPr="00684CD2">
        <w:rPr>
          <w:rFonts w:ascii="Lato" w:hAnsi="Lato"/>
          <w:sz w:val="22"/>
          <w:szCs w:val="22"/>
        </w:rPr>
        <w:t xml:space="preserve"> the area designated on the below map. Priority will be given to groups based in and delivering services in this area. </w:t>
      </w:r>
    </w:p>
    <w:p w14:paraId="0694502C" w14:textId="77777777" w:rsidR="00F34D1A" w:rsidRDefault="00F34D1A" w:rsidP="00F34D1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</w:p>
    <w:p w14:paraId="08C9B32E" w14:textId="27B28490" w:rsidR="00F34D1A" w:rsidRPr="008F3013" w:rsidRDefault="00F34D1A" w:rsidP="00F34D1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3154A8">
        <w:rPr>
          <w:rStyle w:val="eop"/>
          <w:rFonts w:ascii="Lato" w:hAnsi="Lato" w:cs="Segoe UI"/>
          <w:sz w:val="22"/>
          <w:szCs w:val="22"/>
        </w:rPr>
        <w:t>In the event of this fund receiving more applications than we have monies to support</w:t>
      </w:r>
      <w:r>
        <w:rPr>
          <w:rStyle w:val="eop"/>
          <w:rFonts w:ascii="Lato" w:hAnsi="Lato" w:cs="Segoe UI"/>
          <w:sz w:val="22"/>
          <w:szCs w:val="22"/>
        </w:rPr>
        <w:t xml:space="preserve">, </w:t>
      </w:r>
      <w:r w:rsidRPr="008F3013">
        <w:rPr>
          <w:rStyle w:val="eop"/>
          <w:rFonts w:ascii="Lato" w:hAnsi="Lato" w:cs="Segoe UI"/>
          <w:sz w:val="22"/>
          <w:szCs w:val="22"/>
        </w:rPr>
        <w:t xml:space="preserve">the decision-making panel may </w:t>
      </w:r>
      <w:r>
        <w:rPr>
          <w:rStyle w:val="eop"/>
          <w:rFonts w:ascii="Lato" w:hAnsi="Lato" w:cs="Segoe UI"/>
          <w:sz w:val="22"/>
          <w:szCs w:val="22"/>
        </w:rPr>
        <w:t xml:space="preserve">be unlikely to </w:t>
      </w:r>
      <w:r w:rsidRPr="008F3013">
        <w:rPr>
          <w:rStyle w:val="eop"/>
          <w:rFonts w:ascii="Lato" w:hAnsi="Lato" w:cs="Segoe UI"/>
          <w:sz w:val="22"/>
          <w:szCs w:val="22"/>
        </w:rPr>
        <w:t xml:space="preserve">prioritise </w:t>
      </w:r>
      <w:r w:rsidRPr="008F3013">
        <w:rPr>
          <w:rFonts w:ascii="Lato" w:hAnsi="Lato" w:cs="Arial"/>
          <w:sz w:val="22"/>
          <w:szCs w:val="22"/>
        </w:rPr>
        <w:t>organisations / groups</w:t>
      </w:r>
      <w:r w:rsidRPr="008F3013">
        <w:rPr>
          <w:rStyle w:val="eop"/>
          <w:rFonts w:ascii="Lato" w:hAnsi="Lato" w:cs="Segoe UI"/>
          <w:sz w:val="22"/>
          <w:szCs w:val="22"/>
        </w:rPr>
        <w:t>:</w:t>
      </w:r>
    </w:p>
    <w:p w14:paraId="3CEBB059" w14:textId="77777777" w:rsidR="00F34D1A" w:rsidRPr="006810E9" w:rsidRDefault="00F34D1A" w:rsidP="00F34D1A">
      <w:pPr>
        <w:pStyle w:val="paragraph"/>
        <w:numPr>
          <w:ilvl w:val="0"/>
          <w:numId w:val="28"/>
        </w:numPr>
        <w:spacing w:before="0" w:beforeAutospacing="0" w:after="0" w:afterAutospacing="0"/>
        <w:ind w:left="426" w:hanging="284"/>
        <w:textAlignment w:val="baseline"/>
        <w:rPr>
          <w:rFonts w:ascii="Lato" w:hAnsi="Lato" w:cs="Segoe UI"/>
          <w:sz w:val="22"/>
          <w:szCs w:val="22"/>
        </w:rPr>
      </w:pPr>
      <w:r w:rsidRPr="003154A8">
        <w:rPr>
          <w:rFonts w:ascii="Lato" w:hAnsi="Lato"/>
          <w:sz w:val="22"/>
          <w:szCs w:val="22"/>
        </w:rPr>
        <w:t>with significantly high reserves where it appears these could reasonably be used for the proposed activity or development</w:t>
      </w:r>
      <w:r>
        <w:rPr>
          <w:rFonts w:ascii="Lato" w:hAnsi="Lato"/>
          <w:sz w:val="22"/>
          <w:szCs w:val="22"/>
        </w:rPr>
        <w:t>;</w:t>
      </w:r>
    </w:p>
    <w:p w14:paraId="38D9087F" w14:textId="77777777" w:rsidR="00F34D1A" w:rsidRPr="003154A8" w:rsidRDefault="00F34D1A" w:rsidP="00F34D1A">
      <w:pPr>
        <w:pStyle w:val="paragraph"/>
        <w:numPr>
          <w:ilvl w:val="0"/>
          <w:numId w:val="28"/>
        </w:numPr>
        <w:spacing w:before="0" w:beforeAutospacing="0" w:after="0" w:afterAutospacing="0"/>
        <w:ind w:left="426" w:hanging="284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6810E9">
        <w:rPr>
          <w:rFonts w:ascii="Lato" w:hAnsi="Lato" w:cs="Arial"/>
          <w:sz w:val="22"/>
          <w:szCs w:val="22"/>
        </w:rPr>
        <w:t>with</w:t>
      </w:r>
      <w:r>
        <w:rPr>
          <w:rFonts w:ascii="Lato" w:hAnsi="Lato" w:cs="Arial"/>
          <w:sz w:val="22"/>
          <w:szCs w:val="22"/>
        </w:rPr>
        <w:t>out</w:t>
      </w:r>
      <w:r w:rsidRPr="006810E9">
        <w:rPr>
          <w:rFonts w:ascii="Lato" w:hAnsi="Lato" w:cs="Arial"/>
          <w:sz w:val="22"/>
          <w:szCs w:val="22"/>
        </w:rPr>
        <w:t xml:space="preserve"> a good track record</w:t>
      </w:r>
      <w:r>
        <w:rPr>
          <w:rFonts w:ascii="Lato" w:hAnsi="Lato" w:cs="Arial"/>
          <w:sz w:val="22"/>
          <w:szCs w:val="22"/>
        </w:rPr>
        <w:t xml:space="preserve"> and unable to </w:t>
      </w:r>
      <w:r w:rsidRPr="006810E9">
        <w:rPr>
          <w:rFonts w:ascii="Lato" w:hAnsi="Lato" w:cs="Arial"/>
          <w:sz w:val="22"/>
          <w:szCs w:val="22"/>
        </w:rPr>
        <w:t>demonstrate deep community impact</w:t>
      </w:r>
      <w:r>
        <w:rPr>
          <w:rFonts w:ascii="Lato" w:hAnsi="Lato" w:cs="Arial"/>
          <w:sz w:val="22"/>
          <w:szCs w:val="22"/>
        </w:rPr>
        <w:t>;</w:t>
      </w:r>
    </w:p>
    <w:p w14:paraId="7927B285" w14:textId="77777777" w:rsidR="00F34D1A" w:rsidRPr="003154A8" w:rsidRDefault="00F34D1A" w:rsidP="00F34D1A">
      <w:pPr>
        <w:pStyle w:val="paragraph"/>
        <w:numPr>
          <w:ilvl w:val="0"/>
          <w:numId w:val="28"/>
        </w:numPr>
        <w:spacing w:before="0" w:beforeAutospacing="0" w:after="0" w:afterAutospacing="0"/>
        <w:ind w:left="426" w:hanging="284"/>
        <w:textAlignment w:val="baseline"/>
        <w:rPr>
          <w:rFonts w:ascii="Lato" w:hAnsi="Lato" w:cs="Segoe UI"/>
          <w:sz w:val="22"/>
          <w:szCs w:val="22"/>
        </w:rPr>
      </w:pPr>
      <w:r w:rsidRPr="003154A8">
        <w:rPr>
          <w:rFonts w:ascii="Lato" w:hAnsi="Lato"/>
          <w:sz w:val="22"/>
          <w:szCs w:val="22"/>
        </w:rPr>
        <w:t xml:space="preserve">an income </w:t>
      </w:r>
      <w:r>
        <w:rPr>
          <w:rFonts w:ascii="Lato" w:hAnsi="Lato"/>
          <w:sz w:val="22"/>
          <w:szCs w:val="22"/>
        </w:rPr>
        <w:t>trajectory that would push them above the fund’s income ceiling within the delivery timeframe</w:t>
      </w:r>
      <w:r w:rsidRPr="003154A8">
        <w:rPr>
          <w:rFonts w:ascii="Lato" w:hAnsi="Lato"/>
          <w:sz w:val="22"/>
          <w:szCs w:val="22"/>
        </w:rPr>
        <w:t xml:space="preserve"> </w:t>
      </w:r>
    </w:p>
    <w:p w14:paraId="5E1731C1" w14:textId="77777777" w:rsidR="00C04AD7" w:rsidRPr="00113628" w:rsidRDefault="00C04AD7" w:rsidP="00C04AD7">
      <w:pPr>
        <w:pStyle w:val="Single"/>
        <w:keepNext/>
        <w:jc w:val="both"/>
        <w:rPr>
          <w:rFonts w:ascii="Lato" w:hAnsi="Lato" w:cs="Arial"/>
          <w:sz w:val="22"/>
          <w:szCs w:val="22"/>
        </w:rPr>
      </w:pPr>
    </w:p>
    <w:p w14:paraId="1BEB1B73" w14:textId="77777777" w:rsidR="001F1D0D" w:rsidRPr="00113628" w:rsidRDefault="001F1D0D" w:rsidP="001F1D0D">
      <w:pPr>
        <w:pStyle w:val="Single"/>
        <w:jc w:val="both"/>
        <w:rPr>
          <w:rFonts w:ascii="Lato" w:hAnsi="Lato" w:cs="Arial"/>
          <w:sz w:val="22"/>
          <w:szCs w:val="22"/>
        </w:rPr>
      </w:pPr>
    </w:p>
    <w:p w14:paraId="552FF831" w14:textId="2E8DFD39" w:rsidR="00BE4196" w:rsidRPr="00113628" w:rsidRDefault="00BE4196" w:rsidP="0069058D">
      <w:pPr>
        <w:pStyle w:val="Single"/>
        <w:ind w:left="720"/>
        <w:jc w:val="center"/>
        <w:rPr>
          <w:rFonts w:ascii="Lato" w:hAnsi="Lato" w:cs="Arial"/>
          <w:sz w:val="22"/>
          <w:szCs w:val="22"/>
        </w:rPr>
      </w:pPr>
      <w:r w:rsidRPr="00113628">
        <w:rPr>
          <w:rFonts w:ascii="Lato" w:hAnsi="Lato" w:cs="Arial"/>
          <w:noProof/>
          <w:sz w:val="22"/>
          <w:szCs w:val="22"/>
        </w:rPr>
        <w:drawing>
          <wp:inline distT="0" distB="0" distL="0" distR="0" wp14:anchorId="18384D2D" wp14:editId="31AEA9ED">
            <wp:extent cx="5220269" cy="4848342"/>
            <wp:effectExtent l="0" t="0" r="0" b="0"/>
            <wp:docPr id="245306038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06038" name="Picture 2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777" cy="48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F35F" w14:textId="77777777" w:rsidR="0089229F" w:rsidRPr="00113628" w:rsidRDefault="0089229F" w:rsidP="00840193">
      <w:pPr>
        <w:pStyle w:val="Heading2"/>
        <w:spacing w:after="0"/>
      </w:pPr>
      <w:r w:rsidRPr="00113628">
        <w:t>How much you can apply for</w:t>
      </w:r>
    </w:p>
    <w:p w14:paraId="67DA4CFD" w14:textId="31D1EA95" w:rsidR="00587934" w:rsidRDefault="002E0704" w:rsidP="00A52F52">
      <w:pPr>
        <w:pStyle w:val="NoSpacing"/>
        <w:spacing w:line="276" w:lineRule="auto"/>
        <w:rPr>
          <w:color w:val="auto"/>
          <w:szCs w:val="22"/>
        </w:rPr>
      </w:pPr>
      <w:r w:rsidRPr="00684CD2">
        <w:rPr>
          <w:bCs/>
          <w:szCs w:val="22"/>
        </w:rPr>
        <w:t>Grants are available</w:t>
      </w:r>
      <w:r w:rsidR="00A52F52">
        <w:rPr>
          <w:bCs/>
          <w:szCs w:val="22"/>
        </w:rPr>
        <w:t xml:space="preserve"> up </w:t>
      </w:r>
      <w:r w:rsidR="00B853CB">
        <w:rPr>
          <w:bCs/>
          <w:szCs w:val="22"/>
        </w:rPr>
        <w:t>to £</w:t>
      </w:r>
      <w:r w:rsidR="00A52F52">
        <w:rPr>
          <w:bCs/>
          <w:szCs w:val="22"/>
        </w:rPr>
        <w:t>10</w:t>
      </w:r>
      <w:r w:rsidR="00B853CB">
        <w:rPr>
          <w:bCs/>
          <w:szCs w:val="22"/>
        </w:rPr>
        <w:t xml:space="preserve">,000 </w:t>
      </w:r>
      <w:r w:rsidR="00890A3E">
        <w:rPr>
          <w:bCs/>
          <w:szCs w:val="22"/>
        </w:rPr>
        <w:t xml:space="preserve">per year </w:t>
      </w:r>
      <w:r w:rsidR="00587934">
        <w:rPr>
          <w:bCs/>
          <w:szCs w:val="22"/>
        </w:rPr>
        <w:t>for</w:t>
      </w:r>
      <w:r w:rsidR="000D3071">
        <w:rPr>
          <w:bCs/>
          <w:szCs w:val="22"/>
        </w:rPr>
        <w:t xml:space="preserve"> a maximum of two years</w:t>
      </w:r>
      <w:r w:rsidRPr="008C24ED">
        <w:rPr>
          <w:color w:val="auto"/>
          <w:szCs w:val="22"/>
        </w:rPr>
        <w:t xml:space="preserve"> </w:t>
      </w:r>
      <w:r w:rsidR="00587934">
        <w:rPr>
          <w:color w:val="auto"/>
          <w:szCs w:val="22"/>
        </w:rPr>
        <w:t xml:space="preserve">(total grant </w:t>
      </w:r>
      <w:r w:rsidR="00ED5800">
        <w:rPr>
          <w:color w:val="auto"/>
          <w:szCs w:val="22"/>
        </w:rPr>
        <w:t>up to £20,000</w:t>
      </w:r>
      <w:r w:rsidR="00587934">
        <w:rPr>
          <w:color w:val="auto"/>
          <w:szCs w:val="22"/>
        </w:rPr>
        <w:t>)</w:t>
      </w:r>
    </w:p>
    <w:p w14:paraId="39D894FB" w14:textId="2E7E8457" w:rsidR="002E0704" w:rsidRPr="00684CD2" w:rsidRDefault="00214205" w:rsidP="00214205">
      <w:pPr>
        <w:pStyle w:val="NoSpacing"/>
        <w:spacing w:line="276" w:lineRule="auto"/>
        <w:rPr>
          <w:color w:val="auto"/>
          <w:szCs w:val="22"/>
        </w:rPr>
      </w:pPr>
      <w:r>
        <w:rPr>
          <w:color w:val="auto"/>
          <w:szCs w:val="22"/>
        </w:rPr>
        <w:t xml:space="preserve">This year </w:t>
      </w:r>
      <w:r w:rsidR="00D75C80">
        <w:rPr>
          <w:color w:val="auto"/>
          <w:szCs w:val="22"/>
        </w:rPr>
        <w:t>w</w:t>
      </w:r>
      <w:r w:rsidR="002E0704" w:rsidRPr="00684CD2">
        <w:rPr>
          <w:color w:val="auto"/>
          <w:szCs w:val="22"/>
        </w:rPr>
        <w:t xml:space="preserve">e </w:t>
      </w:r>
      <w:r>
        <w:rPr>
          <w:color w:val="auto"/>
          <w:szCs w:val="22"/>
        </w:rPr>
        <w:t>have a total funding pot of £</w:t>
      </w:r>
      <w:r w:rsidR="004757C0">
        <w:rPr>
          <w:color w:val="auto"/>
          <w:szCs w:val="22"/>
        </w:rPr>
        <w:t>100,000</w:t>
      </w:r>
      <w:r>
        <w:rPr>
          <w:color w:val="auto"/>
          <w:szCs w:val="22"/>
        </w:rPr>
        <w:t xml:space="preserve"> </w:t>
      </w:r>
      <w:r w:rsidR="00D75C80">
        <w:rPr>
          <w:color w:val="auto"/>
          <w:szCs w:val="22"/>
        </w:rPr>
        <w:t xml:space="preserve">(we </w:t>
      </w:r>
      <w:r w:rsidR="002E0704" w:rsidRPr="00684CD2">
        <w:rPr>
          <w:color w:val="auto"/>
          <w:szCs w:val="22"/>
        </w:rPr>
        <w:t xml:space="preserve">expect to fund approximately </w:t>
      </w:r>
      <w:r w:rsidR="00935DF7">
        <w:rPr>
          <w:color w:val="auto"/>
          <w:szCs w:val="22"/>
        </w:rPr>
        <w:t>5–1</w:t>
      </w:r>
      <w:r w:rsidR="007E5CB6">
        <w:rPr>
          <w:color w:val="auto"/>
          <w:szCs w:val="22"/>
        </w:rPr>
        <w:t>5</w:t>
      </w:r>
      <w:r w:rsidR="00935DF7">
        <w:rPr>
          <w:color w:val="auto"/>
          <w:szCs w:val="22"/>
        </w:rPr>
        <w:t xml:space="preserve"> </w:t>
      </w:r>
      <w:r w:rsidR="002E0704" w:rsidRPr="00684CD2">
        <w:rPr>
          <w:color w:val="auto"/>
          <w:szCs w:val="22"/>
        </w:rPr>
        <w:t>grants this round)</w:t>
      </w:r>
    </w:p>
    <w:p w14:paraId="7671244A" w14:textId="77777777" w:rsidR="0076064B" w:rsidRPr="00113628" w:rsidRDefault="0076064B" w:rsidP="0076064B">
      <w:pPr>
        <w:pStyle w:val="ListParagraph"/>
        <w:jc w:val="both"/>
        <w:rPr>
          <w:rFonts w:ascii="Lato" w:hAnsi="Lato"/>
          <w:bCs/>
          <w:noProof/>
          <w:color w:val="000000"/>
          <w:sz w:val="22"/>
          <w:szCs w:val="22"/>
        </w:rPr>
      </w:pPr>
    </w:p>
    <w:p w14:paraId="2A4D7EE9" w14:textId="7218B932" w:rsidR="00BB779E" w:rsidRPr="00684CD2" w:rsidRDefault="00BB779E" w:rsidP="00BB779E">
      <w:pPr>
        <w:pStyle w:val="Single"/>
        <w:jc w:val="both"/>
        <w:rPr>
          <w:rFonts w:ascii="Lato" w:hAnsi="Lato" w:cs="Arial"/>
          <w:sz w:val="22"/>
          <w:szCs w:val="22"/>
        </w:rPr>
      </w:pPr>
      <w:r w:rsidRPr="00684CD2">
        <w:rPr>
          <w:rFonts w:ascii="Lato" w:hAnsi="Lato" w:cs="Arial"/>
          <w:b/>
          <w:bCs/>
          <w:sz w:val="22"/>
          <w:szCs w:val="22"/>
        </w:rPr>
        <w:t xml:space="preserve">Applications deadline </w:t>
      </w:r>
      <w:r w:rsidRPr="00684CD2">
        <w:rPr>
          <w:rFonts w:ascii="Lato" w:hAnsi="Lato" w:cs="Arial"/>
          <w:sz w:val="22"/>
          <w:szCs w:val="22"/>
        </w:rPr>
        <w:t>- noon on Monday</w:t>
      </w:r>
      <w:r w:rsidR="00A07968">
        <w:rPr>
          <w:rFonts w:ascii="Lato" w:hAnsi="Lato" w:cs="Arial"/>
          <w:sz w:val="22"/>
          <w:szCs w:val="22"/>
        </w:rPr>
        <w:t xml:space="preserve"> 10</w:t>
      </w:r>
      <w:r w:rsidR="00A07968" w:rsidRPr="00A07968">
        <w:rPr>
          <w:rFonts w:ascii="Lato" w:hAnsi="Lato" w:cs="Arial"/>
          <w:sz w:val="22"/>
          <w:szCs w:val="22"/>
          <w:vertAlign w:val="superscript"/>
        </w:rPr>
        <w:t>th</w:t>
      </w:r>
      <w:r w:rsidR="00A07968">
        <w:rPr>
          <w:rFonts w:ascii="Lato" w:hAnsi="Lato" w:cs="Arial"/>
          <w:sz w:val="22"/>
          <w:szCs w:val="22"/>
        </w:rPr>
        <w:t xml:space="preserve"> August 2026</w:t>
      </w:r>
      <w:r w:rsidRPr="00684CD2">
        <w:rPr>
          <w:rFonts w:ascii="Lato" w:hAnsi="Lato" w:cs="Arial"/>
          <w:sz w:val="22"/>
          <w:szCs w:val="22"/>
        </w:rPr>
        <w:t>.</w:t>
      </w:r>
    </w:p>
    <w:p w14:paraId="7A0A83E3" w14:textId="40B3964D" w:rsidR="00BB779E" w:rsidRDefault="00BB779E" w:rsidP="00BB779E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1574DD">
        <w:rPr>
          <w:rFonts w:ascii="Lato" w:hAnsi="Lato" w:cstheme="minorHAnsi"/>
          <w:sz w:val="22"/>
          <w:szCs w:val="22"/>
        </w:rPr>
        <w:t>Decisions will be made in</w:t>
      </w:r>
      <w:r w:rsidR="00A07968">
        <w:rPr>
          <w:rFonts w:ascii="Lato" w:hAnsi="Lato" w:cstheme="minorHAnsi"/>
          <w:sz w:val="22"/>
          <w:szCs w:val="22"/>
        </w:rPr>
        <w:t xml:space="preserve"> September </w:t>
      </w:r>
      <w:r w:rsidRPr="001574DD">
        <w:rPr>
          <w:rFonts w:ascii="Lato" w:hAnsi="Lato" w:cstheme="minorHAnsi"/>
          <w:sz w:val="22"/>
          <w:szCs w:val="22"/>
        </w:rPr>
        <w:t>by a special panel made up of members of the community and representatives of Two Ridings Community Foundation. You will hear from us with a decision by</w:t>
      </w:r>
      <w:r w:rsidR="00583399">
        <w:rPr>
          <w:rFonts w:ascii="Lato" w:hAnsi="Lato" w:cstheme="minorHAnsi"/>
          <w:sz w:val="22"/>
          <w:szCs w:val="22"/>
        </w:rPr>
        <w:t xml:space="preserve"> the end of September</w:t>
      </w:r>
      <w:r w:rsidRPr="001574DD">
        <w:rPr>
          <w:rFonts w:ascii="Lato" w:hAnsi="Lato" w:cstheme="minorHAnsi"/>
          <w:sz w:val="22"/>
          <w:szCs w:val="22"/>
        </w:rPr>
        <w:t>.</w:t>
      </w:r>
    </w:p>
    <w:p w14:paraId="0FA76545" w14:textId="77777777" w:rsidR="00312886" w:rsidRDefault="00312886" w:rsidP="00BB779E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2E34B7AE" w14:textId="77777777" w:rsidR="00312886" w:rsidRPr="00684CD2" w:rsidRDefault="00312886" w:rsidP="00312886">
      <w:pPr>
        <w:rPr>
          <w:rFonts w:ascii="Lato" w:hAnsi="Lato"/>
          <w:sz w:val="22"/>
          <w:szCs w:val="22"/>
        </w:rPr>
      </w:pPr>
      <w:r w:rsidRPr="00684CD2">
        <w:rPr>
          <w:rFonts w:ascii="Lato" w:hAnsi="Lato"/>
          <w:bCs/>
          <w:sz w:val="22"/>
          <w:szCs w:val="22"/>
        </w:rPr>
        <w:t xml:space="preserve">Funding can be towards </w:t>
      </w:r>
      <w:r w:rsidRPr="00684CD2">
        <w:rPr>
          <w:rFonts w:ascii="Lato" w:hAnsi="Lato"/>
          <w:sz w:val="22"/>
          <w:szCs w:val="22"/>
        </w:rPr>
        <w:t xml:space="preserve">pilot projects, </w:t>
      </w:r>
      <w:r w:rsidRPr="00684CD2">
        <w:rPr>
          <w:rFonts w:ascii="Lato" w:hAnsi="Lato"/>
          <w:bCs/>
          <w:sz w:val="22"/>
          <w:szCs w:val="22"/>
        </w:rPr>
        <w:t>providing activity, projects or support</w:t>
      </w:r>
      <w:r w:rsidRPr="00684CD2">
        <w:rPr>
          <w:rFonts w:ascii="Lato" w:hAnsi="Lato"/>
          <w:sz w:val="22"/>
          <w:szCs w:val="22"/>
        </w:rPr>
        <w:t xml:space="preserve"> or for small capital items</w:t>
      </w:r>
      <w:r w:rsidRPr="00684CD2">
        <w:rPr>
          <w:rFonts w:ascii="Lato" w:hAnsi="Lato"/>
          <w:bCs/>
          <w:sz w:val="22"/>
          <w:szCs w:val="22"/>
        </w:rPr>
        <w:t xml:space="preserve"> </w:t>
      </w:r>
      <w:r w:rsidRPr="00684CD2">
        <w:rPr>
          <w:rFonts w:ascii="Lato" w:hAnsi="Lato"/>
          <w:sz w:val="22"/>
          <w:szCs w:val="22"/>
        </w:rPr>
        <w:t>(all types of application will be treated equally). Grants can fund 100% of the activity costs or can be part of a combination of funding to meet the full amount needed. However, it is unlikely that priority will be given to applications where the grant award would represent less than 20% of the total project cost. If you are applying for a percentage of the total costs, please tell us what other funding has been secured or how you will secure the remaining funds.</w:t>
      </w:r>
    </w:p>
    <w:p w14:paraId="377753F8" w14:textId="77777777" w:rsidR="00312886" w:rsidRPr="00684CD2" w:rsidRDefault="00312886" w:rsidP="00312886">
      <w:pPr>
        <w:rPr>
          <w:rFonts w:ascii="Lato" w:hAnsi="Lato"/>
          <w:sz w:val="22"/>
          <w:szCs w:val="22"/>
        </w:rPr>
      </w:pPr>
    </w:p>
    <w:p w14:paraId="77DD2F0D" w14:textId="77777777" w:rsidR="00312886" w:rsidRPr="00C34527" w:rsidRDefault="00312886" w:rsidP="00312886">
      <w:p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77935">
        <w:rPr>
          <w:rFonts w:ascii="Lato" w:hAnsi="Lato" w:cstheme="minorHAnsi"/>
          <w:b/>
          <w:bCs/>
          <w:sz w:val="22"/>
          <w:szCs w:val="22"/>
        </w:rPr>
        <w:t>Please note</w:t>
      </w:r>
      <w:r>
        <w:rPr>
          <w:rFonts w:ascii="Lato" w:hAnsi="Lato" w:cstheme="minorHAnsi"/>
          <w:sz w:val="22"/>
          <w:szCs w:val="22"/>
        </w:rPr>
        <w:t xml:space="preserve"> – We </w:t>
      </w:r>
      <w:r w:rsidRPr="00C34527">
        <w:rPr>
          <w:rFonts w:ascii="Lato" w:hAnsi="Lato"/>
          <w:sz w:val="22"/>
          <w:szCs w:val="22"/>
        </w:rPr>
        <w:t>support</w:t>
      </w:r>
      <w:hyperlink r:id="rId15" w:history="1">
        <w:r w:rsidRPr="0034281F">
          <w:rPr>
            <w:rStyle w:val="Hyperlink"/>
            <w:rFonts w:ascii="Lato" w:hAnsi="Lato"/>
            <w:sz w:val="22"/>
            <w:szCs w:val="22"/>
          </w:rPr>
          <w:t xml:space="preserve"> Full Cost Recovery</w:t>
        </w:r>
      </w:hyperlink>
      <w:r>
        <w:rPr>
          <w:rFonts w:ascii="Lato" w:hAnsi="Lato"/>
          <w:sz w:val="22"/>
          <w:szCs w:val="22"/>
        </w:rPr>
        <w:t xml:space="preserve"> a</w:t>
      </w:r>
      <w:r>
        <w:rPr>
          <w:rFonts w:ascii="Lato" w:hAnsi="Lato" w:cstheme="minorHAnsi"/>
          <w:sz w:val="22"/>
          <w:szCs w:val="22"/>
        </w:rPr>
        <w:t xml:space="preserve">nd </w:t>
      </w:r>
      <w:r w:rsidRPr="00C34527">
        <w:rPr>
          <w:rFonts w:ascii="Lato" w:hAnsi="Lato"/>
          <w:sz w:val="22"/>
          <w:szCs w:val="22"/>
        </w:rPr>
        <w:t>strongly encourage applicants to include a proportion of their overheads on this application</w:t>
      </w:r>
      <w:r>
        <w:rPr>
          <w:rFonts w:ascii="Lato" w:hAnsi="Lato"/>
          <w:sz w:val="22"/>
          <w:szCs w:val="22"/>
        </w:rPr>
        <w:t xml:space="preserve">, excluding </w:t>
      </w:r>
      <w:r w:rsidRPr="00C34527">
        <w:rPr>
          <w:rFonts w:ascii="Lato" w:hAnsi="Lato"/>
          <w:sz w:val="22"/>
          <w:szCs w:val="22"/>
        </w:rPr>
        <w:t xml:space="preserve">costs associated with commission-based payments for fundraising. </w:t>
      </w:r>
      <w:r w:rsidRPr="00C34527">
        <w:rPr>
          <w:rFonts w:ascii="Lato" w:hAnsi="Lato" w:cstheme="minorHAnsi"/>
          <w:sz w:val="22"/>
          <w:szCs w:val="22"/>
        </w:rPr>
        <w:t>We do not accept applications for overheads alone</w:t>
      </w:r>
      <w:r>
        <w:rPr>
          <w:rFonts w:ascii="Lato" w:hAnsi="Lato" w:cstheme="minorHAnsi"/>
          <w:sz w:val="22"/>
          <w:szCs w:val="22"/>
        </w:rPr>
        <w:t xml:space="preserve"> or </w:t>
      </w:r>
      <w:r w:rsidRPr="00FD2953">
        <w:rPr>
          <w:rFonts w:ascii="Lato" w:hAnsi="Lato"/>
          <w:sz w:val="22"/>
          <w:szCs w:val="22"/>
        </w:rPr>
        <w:t xml:space="preserve">where </w:t>
      </w:r>
      <w:r>
        <w:rPr>
          <w:rFonts w:ascii="Lato" w:hAnsi="Lato"/>
          <w:sz w:val="22"/>
          <w:szCs w:val="22"/>
        </w:rPr>
        <w:t xml:space="preserve">overhead </w:t>
      </w:r>
      <w:r w:rsidRPr="00FD2953">
        <w:rPr>
          <w:rFonts w:ascii="Lato" w:hAnsi="Lato"/>
          <w:sz w:val="22"/>
          <w:szCs w:val="22"/>
        </w:rPr>
        <w:t>costs are</w:t>
      </w:r>
      <w:r w:rsidRPr="00FD2953" w:rsidDel="00A74B9C">
        <w:rPr>
          <w:rFonts w:ascii="Lato" w:hAnsi="Lato"/>
          <w:sz w:val="22"/>
          <w:szCs w:val="22"/>
        </w:rPr>
        <w:t xml:space="preserve"> </w:t>
      </w:r>
      <w:r w:rsidRPr="00FD2953">
        <w:rPr>
          <w:rFonts w:ascii="Lato" w:hAnsi="Lato"/>
          <w:sz w:val="22"/>
          <w:szCs w:val="22"/>
        </w:rPr>
        <w:t xml:space="preserve">a </w:t>
      </w:r>
      <w:r w:rsidRPr="00B72C20">
        <w:rPr>
          <w:rFonts w:ascii="Lato" w:hAnsi="Lato"/>
          <w:sz w:val="22"/>
          <w:szCs w:val="22"/>
        </w:rPr>
        <w:t>large proportion</w:t>
      </w:r>
      <w:r>
        <w:rPr>
          <w:rFonts w:ascii="Lato" w:hAnsi="Lato"/>
          <w:b/>
          <w:bCs/>
          <w:sz w:val="22"/>
          <w:szCs w:val="22"/>
        </w:rPr>
        <w:t xml:space="preserve"> </w:t>
      </w:r>
      <w:r w:rsidRPr="00FD2953">
        <w:rPr>
          <w:rFonts w:ascii="Lato" w:hAnsi="Lato"/>
          <w:sz w:val="22"/>
          <w:szCs w:val="22"/>
        </w:rPr>
        <w:t>of the requested amount</w:t>
      </w:r>
      <w:r w:rsidRPr="00C34527">
        <w:rPr>
          <w:rFonts w:ascii="Lato" w:hAnsi="Lato" w:cstheme="minorHAnsi"/>
          <w:sz w:val="22"/>
          <w:szCs w:val="22"/>
        </w:rPr>
        <w:t>.</w:t>
      </w:r>
    </w:p>
    <w:p w14:paraId="28A9CD34" w14:textId="3C062BE6" w:rsidR="00BB2707" w:rsidRPr="00113628" w:rsidRDefault="00BB2707" w:rsidP="00443AB7">
      <w:pPr>
        <w:pStyle w:val="Heading2"/>
        <w:spacing w:after="0"/>
      </w:pPr>
      <w:r w:rsidRPr="00113628">
        <w:lastRenderedPageBreak/>
        <w:t>What grants can be used for</w:t>
      </w:r>
    </w:p>
    <w:p w14:paraId="591FBB33" w14:textId="77777777" w:rsidR="003A2EDA" w:rsidRPr="00113628" w:rsidRDefault="003A2EDA" w:rsidP="003A2EDA">
      <w:pPr>
        <w:jc w:val="both"/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The fund may support larger capital costs for community venues with a maximum award of 50% of the total project costs (i.e if your repairs equal £10,000 you can apply for up to £5,000 maximum). These will be prioritised based on supporting the applying venues to stay open. </w:t>
      </w:r>
    </w:p>
    <w:p w14:paraId="6DAD2A18" w14:textId="77777777" w:rsidR="00BB2707" w:rsidRPr="00113628" w:rsidRDefault="00BB2707" w:rsidP="00BB2707">
      <w:pPr>
        <w:rPr>
          <w:rFonts w:ascii="Lato" w:hAnsi="Lato"/>
          <w:sz w:val="22"/>
          <w:szCs w:val="22"/>
        </w:rPr>
      </w:pPr>
    </w:p>
    <w:p w14:paraId="2734C1E6" w14:textId="4A1E3194" w:rsidR="00BB2707" w:rsidRPr="00113628" w:rsidRDefault="00BB2707" w:rsidP="00BB2707">
      <w:pPr>
        <w:rPr>
          <w:rFonts w:ascii="Lato" w:hAnsi="Lato"/>
          <w:bCs/>
          <w:sz w:val="22"/>
          <w:szCs w:val="22"/>
        </w:rPr>
      </w:pPr>
      <w:r w:rsidRPr="00113628">
        <w:rPr>
          <w:rFonts w:ascii="Lato" w:hAnsi="Lato"/>
          <w:bCs/>
          <w:sz w:val="22"/>
          <w:szCs w:val="22"/>
        </w:rPr>
        <w:t>Some examples of what a grant can support are below (this list is not exhaustive):</w:t>
      </w:r>
    </w:p>
    <w:p w14:paraId="0D42A5BE" w14:textId="77777777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Befriending schemes</w:t>
      </w:r>
    </w:p>
    <w:p w14:paraId="50DD23DE" w14:textId="77777777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Activities to bring people together</w:t>
      </w:r>
    </w:p>
    <w:p w14:paraId="4EB5DE2E" w14:textId="77777777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Information, advice and guidance </w:t>
      </w:r>
    </w:p>
    <w:p w14:paraId="32195F15" w14:textId="77777777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Sporting activity</w:t>
      </w:r>
    </w:p>
    <w:p w14:paraId="12617057" w14:textId="77777777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Transition work for children going from primary school to secondary school</w:t>
      </w:r>
    </w:p>
    <w:p w14:paraId="3F1F6690" w14:textId="3234E66E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Counselling </w:t>
      </w:r>
      <w:r w:rsidRPr="00113628">
        <w:rPr>
          <w:rFonts w:ascii="Lato" w:hAnsi="Lato"/>
          <w:sz w:val="22"/>
          <w:szCs w:val="22"/>
        </w:rPr>
        <w:t>and peer support groups</w:t>
      </w:r>
    </w:p>
    <w:p w14:paraId="32AE7B8E" w14:textId="77777777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Peer support groups</w:t>
      </w:r>
    </w:p>
    <w:p w14:paraId="6AC6B6DF" w14:textId="09A1D981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 xml:space="preserve">Volunteer </w:t>
      </w:r>
      <w:r w:rsidRPr="00113628">
        <w:rPr>
          <w:rFonts w:ascii="Lato" w:hAnsi="Lato"/>
          <w:sz w:val="22"/>
          <w:szCs w:val="22"/>
        </w:rPr>
        <w:t xml:space="preserve">recruitment and </w:t>
      </w:r>
      <w:r w:rsidRPr="00113628">
        <w:rPr>
          <w:rFonts w:ascii="Lato" w:hAnsi="Lato"/>
          <w:bCs/>
          <w:noProof/>
          <w:color w:val="000000"/>
          <w:sz w:val="22"/>
          <w:szCs w:val="22"/>
        </w:rPr>
        <w:t>training</w:t>
      </w:r>
    </w:p>
    <w:p w14:paraId="6462835E" w14:textId="77777777" w:rsidR="006C27F0" w:rsidRPr="00113628" w:rsidRDefault="006C27F0" w:rsidP="006C27F0">
      <w:pPr>
        <w:numPr>
          <w:ilvl w:val="0"/>
          <w:numId w:val="31"/>
        </w:numPr>
        <w:rPr>
          <w:rFonts w:ascii="Lato" w:hAnsi="Lato"/>
          <w:bCs/>
          <w:noProof/>
          <w:color w:val="000000"/>
          <w:sz w:val="22"/>
          <w:szCs w:val="22"/>
        </w:rPr>
      </w:pPr>
      <w:r w:rsidRPr="00113628">
        <w:rPr>
          <w:rFonts w:ascii="Lato" w:hAnsi="Lato"/>
          <w:bCs/>
          <w:noProof/>
          <w:color w:val="000000"/>
          <w:sz w:val="22"/>
          <w:szCs w:val="22"/>
        </w:rPr>
        <w:t>In Bloom groups</w:t>
      </w:r>
    </w:p>
    <w:p w14:paraId="00E5D817" w14:textId="77777777" w:rsidR="005B7B1E" w:rsidRPr="00113628" w:rsidRDefault="005B7B1E" w:rsidP="008029C1">
      <w:pPr>
        <w:jc w:val="both"/>
        <w:rPr>
          <w:rFonts w:ascii="Lato" w:hAnsi="Lato"/>
          <w:b/>
          <w:bCs/>
          <w:noProof/>
          <w:color w:val="000000"/>
          <w:sz w:val="22"/>
          <w:szCs w:val="22"/>
        </w:rPr>
      </w:pPr>
    </w:p>
    <w:p w14:paraId="51BEEA23" w14:textId="77777777" w:rsidR="00C25766" w:rsidRPr="005878AA" w:rsidRDefault="00C25766" w:rsidP="00C25766">
      <w:pPr>
        <w:pStyle w:val="Heading2"/>
        <w:spacing w:after="0"/>
      </w:pPr>
      <w:r w:rsidRPr="005878AA">
        <w:t>Organisational / Group Eligibility </w:t>
      </w:r>
    </w:p>
    <w:p w14:paraId="24292B0A" w14:textId="77777777" w:rsidR="00C25766" w:rsidRPr="00B2093F" w:rsidRDefault="00C25766" w:rsidP="00C25766">
      <w:pPr>
        <w:rPr>
          <w:rFonts w:ascii="Lato" w:hAnsi="Lato"/>
          <w:bCs/>
          <w:sz w:val="22"/>
          <w:szCs w:val="22"/>
        </w:rPr>
      </w:pPr>
      <w:r w:rsidRPr="00B2093F">
        <w:rPr>
          <w:rFonts w:ascii="Lato" w:hAnsi="Lato"/>
          <w:bCs/>
          <w:sz w:val="22"/>
          <w:szCs w:val="22"/>
        </w:rPr>
        <w:t xml:space="preserve">Please read our </w:t>
      </w:r>
      <w:hyperlink r:id="rId16" w:history="1">
        <w:r w:rsidRPr="00B2093F">
          <w:rPr>
            <w:rStyle w:val="Hyperlink"/>
            <w:rFonts w:ascii="Lato" w:hAnsi="Lato"/>
            <w:bCs/>
            <w:sz w:val="22"/>
            <w:szCs w:val="22"/>
          </w:rPr>
          <w:t xml:space="preserve">How </w:t>
        </w:r>
        <w:proofErr w:type="gramStart"/>
        <w:r w:rsidRPr="00B2093F">
          <w:rPr>
            <w:rStyle w:val="Hyperlink"/>
            <w:rFonts w:ascii="Lato" w:hAnsi="Lato"/>
            <w:bCs/>
            <w:sz w:val="22"/>
            <w:szCs w:val="22"/>
          </w:rPr>
          <w:t>To</w:t>
        </w:r>
        <w:proofErr w:type="gramEnd"/>
        <w:r w:rsidRPr="00B2093F">
          <w:rPr>
            <w:rStyle w:val="Hyperlink"/>
            <w:rFonts w:ascii="Lato" w:hAnsi="Lato"/>
            <w:bCs/>
            <w:sz w:val="22"/>
            <w:szCs w:val="22"/>
          </w:rPr>
          <w:t xml:space="preserve"> Apply</w:t>
        </w:r>
      </w:hyperlink>
      <w:r w:rsidRPr="00B2093F">
        <w:rPr>
          <w:rFonts w:ascii="Lato" w:hAnsi="Lato"/>
          <w:bCs/>
          <w:sz w:val="22"/>
          <w:szCs w:val="22"/>
        </w:rPr>
        <w:t xml:space="preserve"> and </w:t>
      </w:r>
      <w:hyperlink r:id="rId17" w:history="1">
        <w:r w:rsidRPr="00B2093F">
          <w:rPr>
            <w:rStyle w:val="Hyperlink"/>
            <w:rFonts w:ascii="Lato" w:hAnsi="Lato"/>
            <w:bCs/>
            <w:sz w:val="22"/>
            <w:szCs w:val="22"/>
          </w:rPr>
          <w:t>FAQ</w:t>
        </w:r>
      </w:hyperlink>
      <w:r w:rsidRPr="00B2093F">
        <w:rPr>
          <w:rFonts w:ascii="Lato" w:hAnsi="Lato"/>
          <w:bCs/>
          <w:sz w:val="22"/>
          <w:szCs w:val="22"/>
        </w:rPr>
        <w:t xml:space="preserve"> pages on our website for essential information on:</w:t>
      </w:r>
    </w:p>
    <w:p w14:paraId="5A64EECE" w14:textId="77777777" w:rsidR="00C25766" w:rsidRPr="00B2093F" w:rsidRDefault="00C25766" w:rsidP="00C25766">
      <w:pPr>
        <w:pStyle w:val="ListParagraph"/>
        <w:numPr>
          <w:ilvl w:val="0"/>
          <w:numId w:val="38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Organisational / Group Eligibility</w:t>
      </w:r>
    </w:p>
    <w:p w14:paraId="6D2A3C4F" w14:textId="77777777" w:rsidR="00C25766" w:rsidRPr="00B2093F" w:rsidRDefault="00C25766" w:rsidP="00C25766">
      <w:pPr>
        <w:pStyle w:val="ListParagraph"/>
        <w:numPr>
          <w:ilvl w:val="0"/>
          <w:numId w:val="38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Who and what cannot be funded?</w:t>
      </w:r>
    </w:p>
    <w:p w14:paraId="08589CFC" w14:textId="77777777" w:rsidR="00C25766" w:rsidRPr="00B2093F" w:rsidRDefault="00C25766" w:rsidP="00C25766">
      <w:pPr>
        <w:pStyle w:val="ListParagraph"/>
        <w:numPr>
          <w:ilvl w:val="0"/>
          <w:numId w:val="38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How to apply</w:t>
      </w:r>
    </w:p>
    <w:p w14:paraId="4A8B33CE" w14:textId="77777777" w:rsidR="00C25766" w:rsidRPr="00B2093F" w:rsidRDefault="00C25766" w:rsidP="00C25766">
      <w:pPr>
        <w:pStyle w:val="ListParagraph"/>
        <w:numPr>
          <w:ilvl w:val="0"/>
          <w:numId w:val="38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Assessment and Award</w:t>
      </w:r>
    </w:p>
    <w:p w14:paraId="594F51E2" w14:textId="77777777" w:rsidR="00C25766" w:rsidRPr="00B2093F" w:rsidRDefault="00C25766" w:rsidP="00C25766">
      <w:pPr>
        <w:pStyle w:val="ListParagraph"/>
        <w:numPr>
          <w:ilvl w:val="0"/>
          <w:numId w:val="38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Reporting and Evaluation</w:t>
      </w:r>
    </w:p>
    <w:p w14:paraId="53052218" w14:textId="77777777" w:rsidR="00C25766" w:rsidRPr="00B2093F" w:rsidRDefault="00C25766" w:rsidP="00C25766">
      <w:pPr>
        <w:pStyle w:val="ListParagraph"/>
        <w:numPr>
          <w:ilvl w:val="0"/>
          <w:numId w:val="38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Equity, Diversity and Inclusion</w:t>
      </w:r>
    </w:p>
    <w:p w14:paraId="314B5CA0" w14:textId="77777777" w:rsidR="00DE3E60" w:rsidRPr="00DD2D01" w:rsidRDefault="00DE3E60" w:rsidP="00DE3E60">
      <w:pPr>
        <w:pStyle w:val="Heading2"/>
        <w:spacing w:after="0"/>
      </w:pPr>
      <w:r w:rsidRPr="00DD2D01">
        <w:t>How to apply</w:t>
      </w:r>
    </w:p>
    <w:p w14:paraId="332D3207" w14:textId="77777777" w:rsidR="00DE3E60" w:rsidRPr="003B7235" w:rsidRDefault="00DE3E60" w:rsidP="00DE3E60">
      <w:pPr>
        <w:numPr>
          <w:ilvl w:val="0"/>
          <w:numId w:val="33"/>
        </w:numPr>
        <w:ind w:left="426" w:hanging="284"/>
        <w:rPr>
          <w:rFonts w:ascii="Lato" w:hAnsi="Lato"/>
          <w:sz w:val="22"/>
          <w:szCs w:val="22"/>
        </w:rPr>
      </w:pPr>
      <w:r w:rsidRPr="003B7235">
        <w:rPr>
          <w:rFonts w:ascii="Lato" w:hAnsi="Lato"/>
          <w:sz w:val="22"/>
          <w:szCs w:val="22"/>
        </w:rPr>
        <w:t xml:space="preserve">Ensure you meet all the Organisational / Group eligibility above detailed on our </w:t>
      </w:r>
      <w:hyperlink r:id="rId18" w:history="1">
        <w:r w:rsidRPr="003B7235">
          <w:rPr>
            <w:rStyle w:val="Hyperlink"/>
            <w:rFonts w:ascii="Lato" w:hAnsi="Lato"/>
            <w:bCs/>
            <w:sz w:val="22"/>
            <w:szCs w:val="22"/>
          </w:rPr>
          <w:t xml:space="preserve">How </w:t>
        </w:r>
        <w:proofErr w:type="gramStart"/>
        <w:r w:rsidRPr="003B7235">
          <w:rPr>
            <w:rStyle w:val="Hyperlink"/>
            <w:rFonts w:ascii="Lato" w:hAnsi="Lato"/>
            <w:bCs/>
            <w:sz w:val="22"/>
            <w:szCs w:val="22"/>
          </w:rPr>
          <w:t>To</w:t>
        </w:r>
        <w:proofErr w:type="gramEnd"/>
        <w:r w:rsidRPr="003B7235">
          <w:rPr>
            <w:rStyle w:val="Hyperlink"/>
            <w:rFonts w:ascii="Lato" w:hAnsi="Lato"/>
            <w:bCs/>
            <w:sz w:val="22"/>
            <w:szCs w:val="22"/>
          </w:rPr>
          <w:t xml:space="preserve"> Apply</w:t>
        </w:r>
      </w:hyperlink>
      <w:r w:rsidRPr="003B7235">
        <w:rPr>
          <w:rFonts w:ascii="Lato" w:hAnsi="Lato"/>
          <w:sz w:val="22"/>
          <w:szCs w:val="22"/>
        </w:rPr>
        <w:t xml:space="preserve"> web page.</w:t>
      </w:r>
    </w:p>
    <w:p w14:paraId="67E51074" w14:textId="77777777" w:rsidR="00DE3E60" w:rsidRPr="003B7235" w:rsidRDefault="00DE3E60" w:rsidP="00DE3E60">
      <w:pPr>
        <w:numPr>
          <w:ilvl w:val="0"/>
          <w:numId w:val="33"/>
        </w:numPr>
        <w:ind w:left="426" w:hanging="284"/>
        <w:rPr>
          <w:rFonts w:ascii="Lato" w:hAnsi="Lato"/>
          <w:sz w:val="22"/>
          <w:szCs w:val="22"/>
        </w:rPr>
      </w:pPr>
      <w:r w:rsidRPr="003B7235">
        <w:rPr>
          <w:rFonts w:ascii="Lato" w:hAnsi="Lato"/>
          <w:sz w:val="22"/>
          <w:szCs w:val="22"/>
        </w:rPr>
        <w:t>Ensure you meet the fund criteria and at least one of the fund priorities above and that the fund is currently accepting applications.</w:t>
      </w:r>
    </w:p>
    <w:p w14:paraId="59B53125" w14:textId="77777777" w:rsidR="00DE3E60" w:rsidRPr="003B7235" w:rsidRDefault="00DE3E60" w:rsidP="00DE3E60">
      <w:pPr>
        <w:numPr>
          <w:ilvl w:val="0"/>
          <w:numId w:val="33"/>
        </w:numPr>
        <w:ind w:left="426" w:hanging="284"/>
        <w:rPr>
          <w:rFonts w:ascii="Lato" w:hAnsi="Lato"/>
          <w:sz w:val="22"/>
          <w:szCs w:val="22"/>
        </w:rPr>
      </w:pPr>
      <w:r w:rsidRPr="003B7235">
        <w:rPr>
          <w:rFonts w:ascii="Lato" w:hAnsi="Lato"/>
          <w:bCs/>
          <w:sz w:val="22"/>
          <w:szCs w:val="22"/>
        </w:rPr>
        <w:t>Complete the online application form.</w:t>
      </w:r>
      <w:r w:rsidRPr="003B7235">
        <w:rPr>
          <w:rFonts w:ascii="Lato" w:hAnsi="Lato"/>
          <w:sz w:val="22"/>
          <w:szCs w:val="22"/>
        </w:rPr>
        <w:t xml:space="preserve"> Links to this can be found on the Two Ridings’ website</w:t>
      </w:r>
      <w:r>
        <w:rPr>
          <w:rFonts w:ascii="Lato" w:hAnsi="Lato"/>
          <w:sz w:val="22"/>
          <w:szCs w:val="22"/>
        </w:rPr>
        <w:t>.</w:t>
      </w:r>
      <w:r w:rsidRPr="003B7235">
        <w:rPr>
          <w:rFonts w:ascii="Lato" w:hAnsi="Lato"/>
          <w:sz w:val="22"/>
          <w:szCs w:val="22"/>
        </w:rPr>
        <w:t xml:space="preserve"> </w:t>
      </w:r>
    </w:p>
    <w:p w14:paraId="172B2DB6" w14:textId="77777777" w:rsidR="00DE3E60" w:rsidRPr="00D93F00" w:rsidRDefault="00DE3E60" w:rsidP="00DE3E60">
      <w:pPr>
        <w:ind w:left="567"/>
        <w:rPr>
          <w:rFonts w:ascii="Lato" w:hAnsi="Lato"/>
          <w:b/>
          <w:sz w:val="22"/>
          <w:szCs w:val="22"/>
        </w:rPr>
      </w:pPr>
    </w:p>
    <w:p w14:paraId="6E856DB7" w14:textId="77777777" w:rsidR="00DE3E60" w:rsidRDefault="00DE3E60" w:rsidP="00DE3E60">
      <w:pPr>
        <w:ind w:left="284"/>
        <w:rPr>
          <w:rFonts w:ascii="Lato" w:hAnsi="Lato"/>
          <w:b/>
          <w:sz w:val="22"/>
          <w:szCs w:val="22"/>
        </w:rPr>
      </w:pPr>
      <w:r w:rsidRPr="00D93F00">
        <w:rPr>
          <w:rStyle w:val="ui-provider"/>
          <w:rFonts w:ascii="Lato" w:hAnsi="Lato"/>
          <w:b/>
          <w:bCs/>
          <w:sz w:val="22"/>
          <w:szCs w:val="22"/>
        </w:rPr>
        <w:t>NOTE</w:t>
      </w:r>
      <w:r>
        <w:rPr>
          <w:rFonts w:ascii="Lato" w:hAnsi="Lato"/>
          <w:b/>
          <w:sz w:val="22"/>
          <w:szCs w:val="22"/>
        </w:rPr>
        <w:t>:</w:t>
      </w:r>
    </w:p>
    <w:p w14:paraId="0FCEF414" w14:textId="77777777" w:rsidR="00DE3E60" w:rsidRPr="00CF20CA" w:rsidRDefault="00DE3E60" w:rsidP="00DE3E60">
      <w:pPr>
        <w:pStyle w:val="ListParagraph"/>
        <w:numPr>
          <w:ilvl w:val="0"/>
          <w:numId w:val="41"/>
        </w:numPr>
        <w:rPr>
          <w:rFonts w:ascii="Lato" w:hAnsi="Lato"/>
          <w:sz w:val="22"/>
          <w:szCs w:val="22"/>
        </w:rPr>
      </w:pPr>
      <w:r w:rsidRPr="00CF20CA">
        <w:rPr>
          <w:rFonts w:ascii="Lato" w:hAnsi="Lato"/>
          <w:b/>
          <w:sz w:val="22"/>
          <w:szCs w:val="22"/>
        </w:rPr>
        <w:t xml:space="preserve">Applications will </w:t>
      </w:r>
      <w:r w:rsidRPr="00CF20CA">
        <w:rPr>
          <w:rFonts w:ascii="Lato" w:hAnsi="Lato"/>
          <w:b/>
          <w:sz w:val="22"/>
          <w:szCs w:val="22"/>
          <w:u w:val="single"/>
        </w:rPr>
        <w:t xml:space="preserve">only </w:t>
      </w:r>
      <w:r w:rsidRPr="00CF20CA">
        <w:rPr>
          <w:rFonts w:ascii="Lato" w:hAnsi="Lato"/>
          <w:b/>
          <w:sz w:val="22"/>
          <w:szCs w:val="22"/>
        </w:rPr>
        <w:t xml:space="preserve">be processed when </w:t>
      </w:r>
      <w:r w:rsidRPr="00CF20CA">
        <w:rPr>
          <w:rFonts w:ascii="Lato" w:hAnsi="Lato"/>
          <w:b/>
          <w:sz w:val="22"/>
          <w:szCs w:val="22"/>
          <w:u w:val="single"/>
        </w:rPr>
        <w:t>all documentation</w:t>
      </w:r>
      <w:r w:rsidRPr="00CF20CA">
        <w:rPr>
          <w:rFonts w:ascii="Lato" w:hAnsi="Lato"/>
          <w:b/>
          <w:sz w:val="22"/>
          <w:szCs w:val="22"/>
        </w:rPr>
        <w:t xml:space="preserve"> has been received.</w:t>
      </w:r>
    </w:p>
    <w:p w14:paraId="11765AA4" w14:textId="77777777" w:rsidR="00DE3E60" w:rsidRPr="00CF20CA" w:rsidRDefault="00DE3E60" w:rsidP="00DE3E60">
      <w:pPr>
        <w:pStyle w:val="ListParagraph"/>
        <w:numPr>
          <w:ilvl w:val="0"/>
          <w:numId w:val="41"/>
        </w:numPr>
        <w:rPr>
          <w:rStyle w:val="ui-provider"/>
          <w:rFonts w:ascii="Lato" w:hAnsi="Lato"/>
          <w:sz w:val="22"/>
          <w:szCs w:val="22"/>
        </w:rPr>
      </w:pPr>
      <w:r>
        <w:rPr>
          <w:rStyle w:val="ui-provider"/>
          <w:rFonts w:ascii="Lato" w:hAnsi="Lato"/>
          <w:b/>
          <w:bCs/>
          <w:sz w:val="22"/>
          <w:szCs w:val="22"/>
        </w:rPr>
        <w:t>I</w:t>
      </w:r>
      <w:r w:rsidRPr="00CF20CA">
        <w:rPr>
          <w:rStyle w:val="ui-provider"/>
          <w:rFonts w:ascii="Lato" w:hAnsi="Lato"/>
          <w:b/>
          <w:bCs/>
          <w:sz w:val="22"/>
          <w:szCs w:val="22"/>
        </w:rPr>
        <w:t>f successful, you must submit your bank statement within 4 weeks of your ‘grant awarded’ notification</w:t>
      </w:r>
      <w:r w:rsidRPr="00CF20CA">
        <w:rPr>
          <w:rStyle w:val="ui-provider"/>
          <w:rFonts w:ascii="Lato" w:hAnsi="Lato"/>
          <w:sz w:val="22"/>
          <w:szCs w:val="22"/>
        </w:rPr>
        <w:t xml:space="preserve"> </w:t>
      </w:r>
      <w:r w:rsidRPr="00CF20CA">
        <w:rPr>
          <w:rStyle w:val="ui-provider"/>
          <w:rFonts w:ascii="Lato" w:hAnsi="Lato"/>
          <w:b/>
          <w:bCs/>
          <w:sz w:val="22"/>
          <w:szCs w:val="22"/>
        </w:rPr>
        <w:t>otherwise your application will be withdrawn</w:t>
      </w:r>
      <w:r w:rsidRPr="00CF20CA">
        <w:rPr>
          <w:rStyle w:val="ui-provider"/>
          <w:rFonts w:ascii="Lato" w:hAnsi="Lato"/>
          <w:sz w:val="22"/>
          <w:szCs w:val="22"/>
        </w:rPr>
        <w:t xml:space="preserve">. Please make sure you have access to a statement when you apply. </w:t>
      </w:r>
    </w:p>
    <w:p w14:paraId="048001F9" w14:textId="77777777" w:rsidR="00DE3E60" w:rsidRPr="00C44E84" w:rsidRDefault="00DE3E60" w:rsidP="00DE3E60">
      <w:pPr>
        <w:pStyle w:val="Heading2"/>
        <w:spacing w:after="0"/>
      </w:pPr>
      <w:r w:rsidRPr="00C44E84">
        <w:t>Oversubscription Process</w:t>
      </w:r>
    </w:p>
    <w:p w14:paraId="3DD8705E" w14:textId="77777777" w:rsidR="00DE3E60" w:rsidRPr="003154A8" w:rsidRDefault="00DE3E60" w:rsidP="00DE3E60">
      <w:pPr>
        <w:pStyle w:val="ListParagraph"/>
        <w:numPr>
          <w:ilvl w:val="0"/>
          <w:numId w:val="39"/>
        </w:numPr>
        <w:ind w:left="567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 xml:space="preserve">All organisations will first be checked against the published eligibility criteria. Only submissions </w:t>
      </w:r>
      <w:r>
        <w:rPr>
          <w:rFonts w:ascii="Lato" w:eastAsiaTheme="majorEastAsia" w:hAnsi="Lato"/>
          <w:sz w:val="22"/>
          <w:szCs w:val="22"/>
        </w:rPr>
        <w:t xml:space="preserve">received before the deadline </w:t>
      </w:r>
      <w:r w:rsidRPr="003154A8">
        <w:rPr>
          <w:rFonts w:ascii="Lato" w:eastAsiaTheme="majorEastAsia" w:hAnsi="Lato"/>
          <w:sz w:val="22"/>
          <w:szCs w:val="22"/>
        </w:rPr>
        <w:t>that clearly meet these criteria will progress to further consideration.</w:t>
      </w:r>
    </w:p>
    <w:p w14:paraId="335BA7DB" w14:textId="77777777" w:rsidR="00DE3E60" w:rsidRPr="003154A8" w:rsidRDefault="00DE3E60" w:rsidP="00DE3E60">
      <w:pPr>
        <w:pStyle w:val="ListParagraph"/>
        <w:numPr>
          <w:ilvl w:val="0"/>
          <w:numId w:val="39"/>
        </w:numPr>
        <w:ind w:left="567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Eligible applications will then be assessed against the fund’s core criteria and priorities. This may include (but is not limited to):</w:t>
      </w:r>
    </w:p>
    <w:p w14:paraId="5E435100" w14:textId="77777777" w:rsidR="00DE3E60" w:rsidRPr="003154A8" w:rsidRDefault="00DE3E60" w:rsidP="00DE3E60">
      <w:pPr>
        <w:pStyle w:val="ListParagraph"/>
        <w:numPr>
          <w:ilvl w:val="0"/>
          <w:numId w:val="40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Strategic fit with the fund’s objectives</w:t>
      </w:r>
    </w:p>
    <w:p w14:paraId="57876209" w14:textId="77777777" w:rsidR="00DE3E60" w:rsidRPr="003154A8" w:rsidRDefault="00DE3E60" w:rsidP="00DE3E60">
      <w:pPr>
        <w:pStyle w:val="ListParagraph"/>
        <w:numPr>
          <w:ilvl w:val="0"/>
          <w:numId w:val="40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Expected impact and value for money</w:t>
      </w:r>
    </w:p>
    <w:p w14:paraId="7FC8E8D4" w14:textId="77777777" w:rsidR="00DE3E60" w:rsidRPr="003154A8" w:rsidRDefault="00DE3E60" w:rsidP="00DE3E60">
      <w:pPr>
        <w:pStyle w:val="ListParagraph"/>
        <w:numPr>
          <w:ilvl w:val="0"/>
          <w:numId w:val="40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 xml:space="preserve">Strength of the organisation </w:t>
      </w:r>
    </w:p>
    <w:p w14:paraId="59990CFE" w14:textId="77777777" w:rsidR="00DE3E60" w:rsidRPr="003154A8" w:rsidRDefault="00DE3E60" w:rsidP="00DE3E60">
      <w:pPr>
        <w:pStyle w:val="ListParagraph"/>
        <w:numPr>
          <w:ilvl w:val="0"/>
          <w:numId w:val="40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Deliverability within the required timeframe</w:t>
      </w:r>
    </w:p>
    <w:p w14:paraId="5F944F67" w14:textId="77777777" w:rsidR="00DE3E60" w:rsidRPr="003154A8" w:rsidRDefault="00DE3E60" w:rsidP="00DE3E60">
      <w:pPr>
        <w:pStyle w:val="ListParagraph"/>
        <w:numPr>
          <w:ilvl w:val="0"/>
          <w:numId w:val="39"/>
        </w:numPr>
        <w:ind w:left="567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Where applications are of a similar standard, additional factors may be considered to ensure a balanced portfolio of activity. These may include:</w:t>
      </w:r>
    </w:p>
    <w:p w14:paraId="57B7082B" w14:textId="77777777" w:rsidR="00DE3E60" w:rsidRPr="003154A8" w:rsidRDefault="00DE3E60" w:rsidP="00DE3E60">
      <w:pPr>
        <w:pStyle w:val="ListParagraph"/>
        <w:numPr>
          <w:ilvl w:val="0"/>
          <w:numId w:val="40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Alignment with identified priorit</w:t>
      </w:r>
      <w:r>
        <w:rPr>
          <w:rFonts w:ascii="Lato" w:eastAsiaTheme="majorEastAsia" w:hAnsi="Lato"/>
          <w:sz w:val="22"/>
          <w:szCs w:val="22"/>
        </w:rPr>
        <w:t xml:space="preserve">ies </w:t>
      </w:r>
    </w:p>
    <w:p w14:paraId="23C14D16" w14:textId="77777777" w:rsidR="00DE3E60" w:rsidRPr="003154A8" w:rsidRDefault="00DE3E60" w:rsidP="00DE3E60">
      <w:pPr>
        <w:pStyle w:val="ListParagraph"/>
        <w:numPr>
          <w:ilvl w:val="0"/>
          <w:numId w:val="40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Geographic spread</w:t>
      </w:r>
    </w:p>
    <w:p w14:paraId="49B71B4F" w14:textId="77777777" w:rsidR="00DE3E60" w:rsidRPr="003154A8" w:rsidRDefault="00DE3E60" w:rsidP="00DE3E60">
      <w:pPr>
        <w:pStyle w:val="ListParagraph"/>
        <w:numPr>
          <w:ilvl w:val="0"/>
          <w:numId w:val="40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Diversity of applicant type</w:t>
      </w:r>
      <w:r>
        <w:rPr>
          <w:rFonts w:ascii="Lato" w:eastAsiaTheme="majorEastAsia" w:hAnsi="Lato"/>
          <w:sz w:val="22"/>
          <w:szCs w:val="22"/>
        </w:rPr>
        <w:t>s</w:t>
      </w:r>
    </w:p>
    <w:p w14:paraId="221A376F" w14:textId="15ECFEDC" w:rsidR="00483288" w:rsidRPr="00D75C80" w:rsidRDefault="00DE3E60">
      <w:pPr>
        <w:pStyle w:val="ListParagraph"/>
        <w:numPr>
          <w:ilvl w:val="0"/>
          <w:numId w:val="39"/>
        </w:numPr>
        <w:ind w:left="567"/>
        <w:jc w:val="both"/>
        <w:rPr>
          <w:rFonts w:ascii="Lato" w:hAnsi="Lato"/>
          <w:sz w:val="22"/>
          <w:szCs w:val="22"/>
        </w:rPr>
      </w:pPr>
      <w:r w:rsidRPr="00D75C80">
        <w:rPr>
          <w:rFonts w:ascii="Lato" w:eastAsiaTheme="majorEastAsia" w:hAnsi="Lato"/>
          <w:sz w:val="22"/>
          <w:szCs w:val="22"/>
        </w:rPr>
        <w:t>Where Expressions of Interest (EOI) are submitted, only the highest</w:t>
      </w:r>
      <w:r w:rsidRPr="00D75C80">
        <w:rPr>
          <w:rFonts w:ascii="Lato" w:eastAsiaTheme="majorEastAsia" w:hAnsi="Lato"/>
          <w:sz w:val="22"/>
          <w:szCs w:val="22"/>
        </w:rPr>
        <w:noBreakHyphen/>
        <w:t xml:space="preserve">scoring EOI’s will be invited to submit a full application. Being invited to the next stage does </w:t>
      </w:r>
      <w:r w:rsidRPr="00D75C80">
        <w:rPr>
          <w:rFonts w:ascii="Lato" w:eastAsiaTheme="majorEastAsia" w:hAnsi="Lato"/>
          <w:bCs/>
          <w:sz w:val="22"/>
          <w:szCs w:val="22"/>
        </w:rPr>
        <w:t>not</w:t>
      </w:r>
      <w:r w:rsidRPr="00D75C80">
        <w:rPr>
          <w:rFonts w:ascii="Lato" w:eastAsiaTheme="majorEastAsia" w:hAnsi="Lato"/>
          <w:sz w:val="22"/>
          <w:szCs w:val="22"/>
        </w:rPr>
        <w:t xml:space="preserve"> guarantee funding.</w:t>
      </w:r>
    </w:p>
    <w:sectPr w:rsidR="00483288" w:rsidRPr="00D75C80" w:rsidSect="00951882">
      <w:footerReference w:type="even" r:id="rId19"/>
      <w:footerReference w:type="default" r:id="rId20"/>
      <w:footerReference w:type="first" r:id="rId2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A8AB" w14:textId="77777777" w:rsidR="00811E0B" w:rsidRDefault="00811E0B">
      <w:r>
        <w:separator/>
      </w:r>
    </w:p>
  </w:endnote>
  <w:endnote w:type="continuationSeparator" w:id="0">
    <w:p w14:paraId="3EBAD59C" w14:textId="77777777" w:rsidR="00811E0B" w:rsidRDefault="00811E0B">
      <w:r>
        <w:continuationSeparator/>
      </w:r>
    </w:p>
  </w:endnote>
  <w:endnote w:type="continuationNotice" w:id="1">
    <w:p w14:paraId="727BC666" w14:textId="77777777" w:rsidR="00811E0B" w:rsidRDefault="00811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54B9" w14:textId="77777777" w:rsidR="00D22C07" w:rsidRDefault="00D22C07" w:rsidP="00EC3CCC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</w:p>
  <w:p w14:paraId="7E1492A0" w14:textId="633C95E5" w:rsidR="006273AD" w:rsidRPr="00D22C07" w:rsidRDefault="006273AD" w:rsidP="00D22C07">
    <w:pPr>
      <w:pStyle w:val="Footer"/>
      <w:framePr w:wrap="around" w:vAnchor="text" w:hAnchor="margin" w:xAlign="center" w:y="1"/>
      <w:jc w:val="right"/>
      <w:rPr>
        <w:rStyle w:val="PageNumber"/>
        <w:rFonts w:ascii="Aptos" w:hAnsi="Aptos"/>
      </w:rPr>
    </w:pPr>
    <w:r w:rsidRPr="00D22C07">
      <w:rPr>
        <w:rStyle w:val="PageNumber"/>
        <w:rFonts w:ascii="Aptos" w:hAnsi="Aptos"/>
      </w:rPr>
      <w:fldChar w:fldCharType="begin"/>
    </w:r>
    <w:r w:rsidRPr="00D22C07">
      <w:rPr>
        <w:rStyle w:val="PageNumber"/>
        <w:rFonts w:ascii="Aptos" w:hAnsi="Aptos"/>
      </w:rPr>
      <w:instrText xml:space="preserve">PAGE  </w:instrText>
    </w:r>
    <w:r w:rsidRPr="00D22C07">
      <w:rPr>
        <w:rStyle w:val="PageNumber"/>
        <w:rFonts w:ascii="Aptos" w:hAnsi="Aptos"/>
      </w:rPr>
      <w:fldChar w:fldCharType="separate"/>
    </w:r>
    <w:r w:rsidR="00234D01" w:rsidRPr="00D22C07">
      <w:rPr>
        <w:rStyle w:val="PageNumber"/>
        <w:rFonts w:ascii="Aptos" w:hAnsi="Aptos"/>
        <w:noProof/>
      </w:rPr>
      <w:t>2</w:t>
    </w:r>
    <w:r w:rsidRPr="00D22C07">
      <w:rPr>
        <w:rStyle w:val="PageNumber"/>
        <w:rFonts w:ascii="Aptos" w:hAnsi="Aptos"/>
      </w:rPr>
      <w:fldChar w:fldCharType="end"/>
    </w:r>
  </w:p>
  <w:p w14:paraId="764A03A6" w14:textId="77777777" w:rsidR="006273AD" w:rsidRPr="00D22C07" w:rsidRDefault="006273AD">
    <w:pPr>
      <w:pStyle w:val="Footer"/>
      <w:rPr>
        <w:rFonts w:ascii="Aptos" w:hAnsi="Apto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26881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D3B8136" w14:textId="54024779" w:rsidR="006C7AFF" w:rsidRPr="006C7AFF" w:rsidRDefault="006C7AFF">
        <w:pPr>
          <w:pStyle w:val="Footer"/>
          <w:jc w:val="right"/>
          <w:rPr>
            <w:sz w:val="28"/>
            <w:szCs w:val="28"/>
          </w:rPr>
        </w:pPr>
        <w:r w:rsidRPr="006C7AFF">
          <w:rPr>
            <w:rFonts w:ascii="Aptos" w:hAnsi="Aptos"/>
            <w:sz w:val="22"/>
            <w:szCs w:val="22"/>
          </w:rPr>
          <w:fldChar w:fldCharType="begin"/>
        </w:r>
        <w:r w:rsidRPr="006C7AFF">
          <w:rPr>
            <w:rFonts w:ascii="Aptos" w:hAnsi="Aptos"/>
            <w:sz w:val="22"/>
            <w:szCs w:val="22"/>
          </w:rPr>
          <w:instrText xml:space="preserve"> PAGE   \* MERGEFORMAT </w:instrText>
        </w:r>
        <w:r w:rsidRPr="006C7AFF">
          <w:rPr>
            <w:rFonts w:ascii="Aptos" w:hAnsi="Aptos"/>
            <w:sz w:val="22"/>
            <w:szCs w:val="22"/>
          </w:rPr>
          <w:fldChar w:fldCharType="separate"/>
        </w:r>
        <w:r w:rsidRPr="006C7AFF">
          <w:rPr>
            <w:rFonts w:ascii="Aptos" w:hAnsi="Aptos"/>
            <w:noProof/>
            <w:sz w:val="22"/>
            <w:szCs w:val="22"/>
          </w:rPr>
          <w:t>2</w:t>
        </w:r>
        <w:r w:rsidRPr="006C7AFF">
          <w:rPr>
            <w:rFonts w:ascii="Aptos" w:hAnsi="Aptos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F2E9" w14:textId="77777777" w:rsidR="006C7AFF" w:rsidRPr="00B91497" w:rsidRDefault="006C7AFF" w:rsidP="006C7AFF">
    <w:pPr>
      <w:pStyle w:val="Footer"/>
      <w:jc w:val="center"/>
      <w:rPr>
        <w:rFonts w:ascii="Aptos" w:hAnsi="Aptos"/>
      </w:rPr>
    </w:pPr>
    <w:r w:rsidRPr="00B91497">
      <w:rPr>
        <w:rFonts w:ascii="Aptos" w:hAnsi="Aptos"/>
        <w:color w:val="808080"/>
        <w:sz w:val="20"/>
      </w:rPr>
      <w:t xml:space="preserve">Two Ridings Community Foundation | </w:t>
    </w:r>
    <w:r w:rsidRPr="00B91497">
      <w:rPr>
        <w:rFonts w:ascii="Aptos" w:hAnsi="Aptos"/>
        <w:bCs/>
        <w:color w:val="808080"/>
        <w:sz w:val="20"/>
      </w:rPr>
      <w:t>Registered Charitable Incorporated Organisation Number 1166471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AA7A" w14:textId="77777777" w:rsidR="00811E0B" w:rsidRDefault="00811E0B">
      <w:r>
        <w:separator/>
      </w:r>
    </w:p>
  </w:footnote>
  <w:footnote w:type="continuationSeparator" w:id="0">
    <w:p w14:paraId="4246E892" w14:textId="77777777" w:rsidR="00811E0B" w:rsidRDefault="00811E0B">
      <w:r>
        <w:continuationSeparator/>
      </w:r>
    </w:p>
  </w:footnote>
  <w:footnote w:type="continuationNotice" w:id="1">
    <w:p w14:paraId="18D8095D" w14:textId="77777777" w:rsidR="00811E0B" w:rsidRDefault="00811E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B36"/>
    <w:multiLevelType w:val="hybridMultilevel"/>
    <w:tmpl w:val="890E4A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7BB"/>
    <w:multiLevelType w:val="hybridMultilevel"/>
    <w:tmpl w:val="95F43D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7390"/>
    <w:multiLevelType w:val="hybridMultilevel"/>
    <w:tmpl w:val="772680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683"/>
    <w:multiLevelType w:val="hybridMultilevel"/>
    <w:tmpl w:val="AD80AD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5D13577"/>
    <w:multiLevelType w:val="hybridMultilevel"/>
    <w:tmpl w:val="9D3A5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4D6"/>
    <w:multiLevelType w:val="hybridMultilevel"/>
    <w:tmpl w:val="132C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869C9"/>
    <w:multiLevelType w:val="hybridMultilevel"/>
    <w:tmpl w:val="AE00C914"/>
    <w:lvl w:ilvl="0" w:tplc="422036E8">
      <w:numFmt w:val="bullet"/>
      <w:lvlText w:val="-"/>
      <w:lvlJc w:val="left"/>
      <w:pPr>
        <w:ind w:left="720" w:hanging="360"/>
      </w:pPr>
      <w:rPr>
        <w:rFonts w:ascii="Lato" w:eastAsia="Times New Roman" w:hAnsi="Lato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7366B"/>
    <w:multiLevelType w:val="hybridMultilevel"/>
    <w:tmpl w:val="E0A0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606E"/>
    <w:multiLevelType w:val="hybridMultilevel"/>
    <w:tmpl w:val="62A4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5A97"/>
    <w:multiLevelType w:val="hybridMultilevel"/>
    <w:tmpl w:val="5450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69D7"/>
    <w:multiLevelType w:val="hybridMultilevel"/>
    <w:tmpl w:val="8362E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950DB"/>
    <w:multiLevelType w:val="hybridMultilevel"/>
    <w:tmpl w:val="7C72ABF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DF1768"/>
    <w:multiLevelType w:val="hybridMultilevel"/>
    <w:tmpl w:val="8F04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664C1"/>
    <w:multiLevelType w:val="hybridMultilevel"/>
    <w:tmpl w:val="2FD6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0279F"/>
    <w:multiLevelType w:val="hybridMultilevel"/>
    <w:tmpl w:val="74045B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23C0"/>
    <w:multiLevelType w:val="hybridMultilevel"/>
    <w:tmpl w:val="9576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20DC8"/>
    <w:multiLevelType w:val="hybridMultilevel"/>
    <w:tmpl w:val="E2D6A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538C8"/>
    <w:multiLevelType w:val="hybridMultilevel"/>
    <w:tmpl w:val="0FB6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20A0F"/>
    <w:multiLevelType w:val="hybridMultilevel"/>
    <w:tmpl w:val="0E1EE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3348"/>
    <w:multiLevelType w:val="hybridMultilevel"/>
    <w:tmpl w:val="5002F6F8"/>
    <w:lvl w:ilvl="0" w:tplc="863C2A5C">
      <w:start w:val="10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B6C58"/>
    <w:multiLevelType w:val="hybridMultilevel"/>
    <w:tmpl w:val="E6E20348"/>
    <w:lvl w:ilvl="0" w:tplc="71E00A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6598A"/>
    <w:multiLevelType w:val="hybridMultilevel"/>
    <w:tmpl w:val="75B86F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E51272"/>
    <w:multiLevelType w:val="hybridMultilevel"/>
    <w:tmpl w:val="D4DA5538"/>
    <w:lvl w:ilvl="0" w:tplc="D0B679FA">
      <w:start w:val="10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C1076"/>
    <w:multiLevelType w:val="hybridMultilevel"/>
    <w:tmpl w:val="66F414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A93132"/>
    <w:multiLevelType w:val="multilevel"/>
    <w:tmpl w:val="1350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06F10"/>
    <w:multiLevelType w:val="hybridMultilevel"/>
    <w:tmpl w:val="704C91A4"/>
    <w:lvl w:ilvl="0" w:tplc="08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C4E0825"/>
    <w:multiLevelType w:val="hybridMultilevel"/>
    <w:tmpl w:val="3DE844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278F4"/>
    <w:multiLevelType w:val="hybridMultilevel"/>
    <w:tmpl w:val="E264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A30E7"/>
    <w:multiLevelType w:val="hybridMultilevel"/>
    <w:tmpl w:val="89424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C41A4"/>
    <w:multiLevelType w:val="hybridMultilevel"/>
    <w:tmpl w:val="F2A448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71C5A"/>
    <w:multiLevelType w:val="hybridMultilevel"/>
    <w:tmpl w:val="B3F447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A1715"/>
    <w:multiLevelType w:val="hybridMultilevel"/>
    <w:tmpl w:val="4AB443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157E"/>
    <w:multiLevelType w:val="hybridMultilevel"/>
    <w:tmpl w:val="5DAAA5E2"/>
    <w:lvl w:ilvl="0" w:tplc="D68AE9D0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C4DAD"/>
    <w:multiLevelType w:val="hybridMultilevel"/>
    <w:tmpl w:val="79DC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D447C"/>
    <w:multiLevelType w:val="hybridMultilevel"/>
    <w:tmpl w:val="F43E8E50"/>
    <w:lvl w:ilvl="0" w:tplc="72DE18F0">
      <w:start w:val="2"/>
      <w:numFmt w:val="bullet"/>
      <w:lvlText w:val="-"/>
      <w:lvlJc w:val="left"/>
      <w:pPr>
        <w:ind w:left="720" w:hanging="360"/>
      </w:pPr>
      <w:rPr>
        <w:rFonts w:ascii="Lato" w:eastAsiaTheme="majorEastAsia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D3441"/>
    <w:multiLevelType w:val="hybridMultilevel"/>
    <w:tmpl w:val="C396E6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D2B74"/>
    <w:multiLevelType w:val="hybridMultilevel"/>
    <w:tmpl w:val="7640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62205"/>
    <w:multiLevelType w:val="hybridMultilevel"/>
    <w:tmpl w:val="9A649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35360"/>
    <w:multiLevelType w:val="hybridMultilevel"/>
    <w:tmpl w:val="AEE0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677AE"/>
    <w:multiLevelType w:val="hybridMultilevel"/>
    <w:tmpl w:val="C958D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F6E2C"/>
    <w:multiLevelType w:val="hybridMultilevel"/>
    <w:tmpl w:val="9ACC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67622">
    <w:abstractNumId w:val="2"/>
  </w:num>
  <w:num w:numId="2" w16cid:durableId="2072580073">
    <w:abstractNumId w:val="14"/>
  </w:num>
  <w:num w:numId="3" w16cid:durableId="1762794532">
    <w:abstractNumId w:val="23"/>
  </w:num>
  <w:num w:numId="4" w16cid:durableId="305088725">
    <w:abstractNumId w:val="9"/>
  </w:num>
  <w:num w:numId="5" w16cid:durableId="909541272">
    <w:abstractNumId w:val="5"/>
  </w:num>
  <w:num w:numId="6" w16cid:durableId="1884554596">
    <w:abstractNumId w:val="8"/>
  </w:num>
  <w:num w:numId="7" w16cid:durableId="1943756945">
    <w:abstractNumId w:val="26"/>
  </w:num>
  <w:num w:numId="8" w16cid:durableId="70467134">
    <w:abstractNumId w:val="31"/>
  </w:num>
  <w:num w:numId="9" w16cid:durableId="207112988">
    <w:abstractNumId w:val="29"/>
  </w:num>
  <w:num w:numId="10" w16cid:durableId="487669773">
    <w:abstractNumId w:val="37"/>
  </w:num>
  <w:num w:numId="11" w16cid:durableId="1999188599">
    <w:abstractNumId w:val="1"/>
  </w:num>
  <w:num w:numId="12" w16cid:durableId="1394279250">
    <w:abstractNumId w:val="38"/>
  </w:num>
  <w:num w:numId="13" w16cid:durableId="1360205753">
    <w:abstractNumId w:val="7"/>
  </w:num>
  <w:num w:numId="14" w16cid:durableId="715009363">
    <w:abstractNumId w:val="35"/>
  </w:num>
  <w:num w:numId="15" w16cid:durableId="2099859186">
    <w:abstractNumId w:val="30"/>
  </w:num>
  <w:num w:numId="16" w16cid:durableId="1011446339">
    <w:abstractNumId w:val="21"/>
  </w:num>
  <w:num w:numId="17" w16cid:durableId="1974864450">
    <w:abstractNumId w:val="13"/>
  </w:num>
  <w:num w:numId="18" w16cid:durableId="232356184">
    <w:abstractNumId w:val="20"/>
  </w:num>
  <w:num w:numId="19" w16cid:durableId="1732116778">
    <w:abstractNumId w:val="24"/>
  </w:num>
  <w:num w:numId="20" w16cid:durableId="1602375548">
    <w:abstractNumId w:val="40"/>
  </w:num>
  <w:num w:numId="21" w16cid:durableId="1453357761">
    <w:abstractNumId w:val="17"/>
  </w:num>
  <w:num w:numId="22" w16cid:durableId="2014381537">
    <w:abstractNumId w:val="28"/>
  </w:num>
  <w:num w:numId="23" w16cid:durableId="1814254182">
    <w:abstractNumId w:val="11"/>
  </w:num>
  <w:num w:numId="24" w16cid:durableId="555971138">
    <w:abstractNumId w:val="27"/>
  </w:num>
  <w:num w:numId="25" w16cid:durableId="136798453">
    <w:abstractNumId w:val="16"/>
  </w:num>
  <w:num w:numId="26" w16cid:durableId="51662075">
    <w:abstractNumId w:val="4"/>
  </w:num>
  <w:num w:numId="27" w16cid:durableId="1010452750">
    <w:abstractNumId w:val="33"/>
  </w:num>
  <w:num w:numId="28" w16cid:durableId="1059520652">
    <w:abstractNumId w:val="6"/>
  </w:num>
  <w:num w:numId="29" w16cid:durableId="2146315321">
    <w:abstractNumId w:val="22"/>
  </w:num>
  <w:num w:numId="30" w16cid:durableId="2024210742">
    <w:abstractNumId w:val="19"/>
  </w:num>
  <w:num w:numId="31" w16cid:durableId="601766863">
    <w:abstractNumId w:val="15"/>
  </w:num>
  <w:num w:numId="32" w16cid:durableId="789664882">
    <w:abstractNumId w:val="0"/>
  </w:num>
  <w:num w:numId="33" w16cid:durableId="679089491">
    <w:abstractNumId w:val="25"/>
  </w:num>
  <w:num w:numId="34" w16cid:durableId="1155296479">
    <w:abstractNumId w:val="39"/>
  </w:num>
  <w:num w:numId="35" w16cid:durableId="1440759444">
    <w:abstractNumId w:val="3"/>
  </w:num>
  <w:num w:numId="36" w16cid:durableId="1250967051">
    <w:abstractNumId w:val="36"/>
  </w:num>
  <w:num w:numId="37" w16cid:durableId="755056271">
    <w:abstractNumId w:val="18"/>
  </w:num>
  <w:num w:numId="38" w16cid:durableId="1478720542">
    <w:abstractNumId w:val="12"/>
  </w:num>
  <w:num w:numId="39" w16cid:durableId="920527048">
    <w:abstractNumId w:val="10"/>
  </w:num>
  <w:num w:numId="40" w16cid:durableId="1411349953">
    <w:abstractNumId w:val="34"/>
  </w:num>
  <w:num w:numId="41" w16cid:durableId="57628700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432BEB8-4CBC-4E39-9AA4-A43542CE6144}"/>
    <w:docVar w:name="dgnword-eventsink" w:val="1172822796096"/>
  </w:docVars>
  <w:rsids>
    <w:rsidRoot w:val="00240D75"/>
    <w:rsid w:val="0001060D"/>
    <w:rsid w:val="000149B0"/>
    <w:rsid w:val="00014AE3"/>
    <w:rsid w:val="00020B12"/>
    <w:rsid w:val="00020DA3"/>
    <w:rsid w:val="00022C6E"/>
    <w:rsid w:val="00026BCA"/>
    <w:rsid w:val="00030ADC"/>
    <w:rsid w:val="00031A53"/>
    <w:rsid w:val="00032E1B"/>
    <w:rsid w:val="00037E80"/>
    <w:rsid w:val="00043C87"/>
    <w:rsid w:val="000444B4"/>
    <w:rsid w:val="0006544C"/>
    <w:rsid w:val="00066B0D"/>
    <w:rsid w:val="000702B6"/>
    <w:rsid w:val="0007611C"/>
    <w:rsid w:val="00080AAF"/>
    <w:rsid w:val="00083D6D"/>
    <w:rsid w:val="00083E08"/>
    <w:rsid w:val="00084730"/>
    <w:rsid w:val="00086EFB"/>
    <w:rsid w:val="00090E93"/>
    <w:rsid w:val="00092132"/>
    <w:rsid w:val="000945AF"/>
    <w:rsid w:val="000946BE"/>
    <w:rsid w:val="00094D88"/>
    <w:rsid w:val="000A056D"/>
    <w:rsid w:val="000A614A"/>
    <w:rsid w:val="000C3003"/>
    <w:rsid w:val="000C39F4"/>
    <w:rsid w:val="000C46A4"/>
    <w:rsid w:val="000C5C08"/>
    <w:rsid w:val="000D3071"/>
    <w:rsid w:val="000D369F"/>
    <w:rsid w:val="000D3DBF"/>
    <w:rsid w:val="000F15F7"/>
    <w:rsid w:val="00104686"/>
    <w:rsid w:val="0010580C"/>
    <w:rsid w:val="00105CBC"/>
    <w:rsid w:val="00113628"/>
    <w:rsid w:val="0012545B"/>
    <w:rsid w:val="00126D4F"/>
    <w:rsid w:val="001414F1"/>
    <w:rsid w:val="00142CED"/>
    <w:rsid w:val="0014643B"/>
    <w:rsid w:val="00152943"/>
    <w:rsid w:val="00153317"/>
    <w:rsid w:val="00153E3B"/>
    <w:rsid w:val="001639AE"/>
    <w:rsid w:val="00166CD7"/>
    <w:rsid w:val="00170003"/>
    <w:rsid w:val="0017289C"/>
    <w:rsid w:val="00174BC0"/>
    <w:rsid w:val="00174E09"/>
    <w:rsid w:val="001830AB"/>
    <w:rsid w:val="001831C9"/>
    <w:rsid w:val="00192255"/>
    <w:rsid w:val="0019569A"/>
    <w:rsid w:val="001A0004"/>
    <w:rsid w:val="001A24B9"/>
    <w:rsid w:val="001A673D"/>
    <w:rsid w:val="001B5967"/>
    <w:rsid w:val="001B6891"/>
    <w:rsid w:val="001C11F5"/>
    <w:rsid w:val="001C31EC"/>
    <w:rsid w:val="001C3ECD"/>
    <w:rsid w:val="001C7170"/>
    <w:rsid w:val="001D19F1"/>
    <w:rsid w:val="001D1B9A"/>
    <w:rsid w:val="001D7969"/>
    <w:rsid w:val="001E2D7D"/>
    <w:rsid w:val="001F0AC4"/>
    <w:rsid w:val="001F1D0D"/>
    <w:rsid w:val="001F51FF"/>
    <w:rsid w:val="001F6B9A"/>
    <w:rsid w:val="0020173A"/>
    <w:rsid w:val="002073FE"/>
    <w:rsid w:val="002101B5"/>
    <w:rsid w:val="00210E44"/>
    <w:rsid w:val="0021166D"/>
    <w:rsid w:val="00211E80"/>
    <w:rsid w:val="00212B28"/>
    <w:rsid w:val="00214205"/>
    <w:rsid w:val="00217222"/>
    <w:rsid w:val="002210A2"/>
    <w:rsid w:val="002232AD"/>
    <w:rsid w:val="002251F9"/>
    <w:rsid w:val="00232295"/>
    <w:rsid w:val="00233219"/>
    <w:rsid w:val="00234D01"/>
    <w:rsid w:val="00240D75"/>
    <w:rsid w:val="00241DC6"/>
    <w:rsid w:val="00244881"/>
    <w:rsid w:val="00250B99"/>
    <w:rsid w:val="00253C59"/>
    <w:rsid w:val="00253CD9"/>
    <w:rsid w:val="00254227"/>
    <w:rsid w:val="00255598"/>
    <w:rsid w:val="00255CF6"/>
    <w:rsid w:val="0025751F"/>
    <w:rsid w:val="002576E3"/>
    <w:rsid w:val="002616AD"/>
    <w:rsid w:val="00264828"/>
    <w:rsid w:val="002664FD"/>
    <w:rsid w:val="00267DB3"/>
    <w:rsid w:val="00270AC5"/>
    <w:rsid w:val="00271D00"/>
    <w:rsid w:val="00273EA6"/>
    <w:rsid w:val="002758D4"/>
    <w:rsid w:val="00280909"/>
    <w:rsid w:val="00280BAB"/>
    <w:rsid w:val="00286FAA"/>
    <w:rsid w:val="002A6AEF"/>
    <w:rsid w:val="002A6DB8"/>
    <w:rsid w:val="002B7F9B"/>
    <w:rsid w:val="002C6D7A"/>
    <w:rsid w:val="002C74C4"/>
    <w:rsid w:val="002D4909"/>
    <w:rsid w:val="002D632D"/>
    <w:rsid w:val="002D7706"/>
    <w:rsid w:val="002E0704"/>
    <w:rsid w:val="002E1173"/>
    <w:rsid w:val="002E11F1"/>
    <w:rsid w:val="002E1491"/>
    <w:rsid w:val="002E6DD4"/>
    <w:rsid w:val="002E7E33"/>
    <w:rsid w:val="002F1E2E"/>
    <w:rsid w:val="002F5E02"/>
    <w:rsid w:val="002F7735"/>
    <w:rsid w:val="00300418"/>
    <w:rsid w:val="00301499"/>
    <w:rsid w:val="003045AD"/>
    <w:rsid w:val="00312886"/>
    <w:rsid w:val="003134EC"/>
    <w:rsid w:val="00313EF2"/>
    <w:rsid w:val="00315975"/>
    <w:rsid w:val="0031673F"/>
    <w:rsid w:val="00322774"/>
    <w:rsid w:val="0032488E"/>
    <w:rsid w:val="00325E4D"/>
    <w:rsid w:val="003274C4"/>
    <w:rsid w:val="00330468"/>
    <w:rsid w:val="0033339D"/>
    <w:rsid w:val="003419E7"/>
    <w:rsid w:val="0034280B"/>
    <w:rsid w:val="003463F1"/>
    <w:rsid w:val="003507BA"/>
    <w:rsid w:val="00352013"/>
    <w:rsid w:val="003611F4"/>
    <w:rsid w:val="00361234"/>
    <w:rsid w:val="0036207F"/>
    <w:rsid w:val="00364852"/>
    <w:rsid w:val="00365F88"/>
    <w:rsid w:val="00367C25"/>
    <w:rsid w:val="003713F4"/>
    <w:rsid w:val="0037617F"/>
    <w:rsid w:val="003762BB"/>
    <w:rsid w:val="0037785E"/>
    <w:rsid w:val="00385C02"/>
    <w:rsid w:val="003A0481"/>
    <w:rsid w:val="003A0963"/>
    <w:rsid w:val="003A2EDA"/>
    <w:rsid w:val="003A4D84"/>
    <w:rsid w:val="003A72C8"/>
    <w:rsid w:val="003B0BB8"/>
    <w:rsid w:val="003B6800"/>
    <w:rsid w:val="003B7C78"/>
    <w:rsid w:val="003C0761"/>
    <w:rsid w:val="003C68E6"/>
    <w:rsid w:val="003D5A54"/>
    <w:rsid w:val="003E3699"/>
    <w:rsid w:val="004037B8"/>
    <w:rsid w:val="00403EA6"/>
    <w:rsid w:val="0040654E"/>
    <w:rsid w:val="0040797A"/>
    <w:rsid w:val="004128AA"/>
    <w:rsid w:val="00415D9E"/>
    <w:rsid w:val="004177BC"/>
    <w:rsid w:val="00417E3A"/>
    <w:rsid w:val="00423DDD"/>
    <w:rsid w:val="004305BC"/>
    <w:rsid w:val="0043211B"/>
    <w:rsid w:val="0043229A"/>
    <w:rsid w:val="00434753"/>
    <w:rsid w:val="00442E65"/>
    <w:rsid w:val="00443AB7"/>
    <w:rsid w:val="0045380A"/>
    <w:rsid w:val="00455696"/>
    <w:rsid w:val="00461CBA"/>
    <w:rsid w:val="0046359A"/>
    <w:rsid w:val="004656B8"/>
    <w:rsid w:val="00465DB4"/>
    <w:rsid w:val="00467F9A"/>
    <w:rsid w:val="004727F8"/>
    <w:rsid w:val="0047424C"/>
    <w:rsid w:val="00474C9A"/>
    <w:rsid w:val="004757C0"/>
    <w:rsid w:val="00483288"/>
    <w:rsid w:val="0048346F"/>
    <w:rsid w:val="004839AC"/>
    <w:rsid w:val="00486448"/>
    <w:rsid w:val="004A0460"/>
    <w:rsid w:val="004A111F"/>
    <w:rsid w:val="004A4BA1"/>
    <w:rsid w:val="004A501D"/>
    <w:rsid w:val="004B0E23"/>
    <w:rsid w:val="004B1D33"/>
    <w:rsid w:val="004B296F"/>
    <w:rsid w:val="004B2E36"/>
    <w:rsid w:val="004B6F77"/>
    <w:rsid w:val="004C2887"/>
    <w:rsid w:val="004C7CCF"/>
    <w:rsid w:val="004D5773"/>
    <w:rsid w:val="004D5C65"/>
    <w:rsid w:val="004D6DF8"/>
    <w:rsid w:val="004E105D"/>
    <w:rsid w:val="004F003B"/>
    <w:rsid w:val="004F034D"/>
    <w:rsid w:val="004F2352"/>
    <w:rsid w:val="004F4003"/>
    <w:rsid w:val="004F45D2"/>
    <w:rsid w:val="004F4AF0"/>
    <w:rsid w:val="004F6E65"/>
    <w:rsid w:val="00512523"/>
    <w:rsid w:val="00515094"/>
    <w:rsid w:val="00515C34"/>
    <w:rsid w:val="0051635C"/>
    <w:rsid w:val="00524A45"/>
    <w:rsid w:val="00526837"/>
    <w:rsid w:val="00527418"/>
    <w:rsid w:val="00536D59"/>
    <w:rsid w:val="00540657"/>
    <w:rsid w:val="0054245A"/>
    <w:rsid w:val="005437DD"/>
    <w:rsid w:val="0054384E"/>
    <w:rsid w:val="00553123"/>
    <w:rsid w:val="00556F87"/>
    <w:rsid w:val="00557C46"/>
    <w:rsid w:val="00565074"/>
    <w:rsid w:val="00572459"/>
    <w:rsid w:val="00574271"/>
    <w:rsid w:val="00582132"/>
    <w:rsid w:val="005828EF"/>
    <w:rsid w:val="00583399"/>
    <w:rsid w:val="00584BD8"/>
    <w:rsid w:val="00587934"/>
    <w:rsid w:val="00587DB4"/>
    <w:rsid w:val="00590D01"/>
    <w:rsid w:val="00594665"/>
    <w:rsid w:val="00595E4C"/>
    <w:rsid w:val="005974F2"/>
    <w:rsid w:val="005A0336"/>
    <w:rsid w:val="005A52AE"/>
    <w:rsid w:val="005A7E0B"/>
    <w:rsid w:val="005B7B1E"/>
    <w:rsid w:val="005C5F41"/>
    <w:rsid w:val="005D37CA"/>
    <w:rsid w:val="005D6EA4"/>
    <w:rsid w:val="005E2DE4"/>
    <w:rsid w:val="005E348D"/>
    <w:rsid w:val="005E5F0B"/>
    <w:rsid w:val="00602B44"/>
    <w:rsid w:val="0061125F"/>
    <w:rsid w:val="006166CC"/>
    <w:rsid w:val="00617B8D"/>
    <w:rsid w:val="00621CCB"/>
    <w:rsid w:val="00625330"/>
    <w:rsid w:val="006273AD"/>
    <w:rsid w:val="00627F54"/>
    <w:rsid w:val="00631A09"/>
    <w:rsid w:val="00632086"/>
    <w:rsid w:val="00632759"/>
    <w:rsid w:val="00652A32"/>
    <w:rsid w:val="00654F9D"/>
    <w:rsid w:val="0065590C"/>
    <w:rsid w:val="0066184D"/>
    <w:rsid w:val="00662080"/>
    <w:rsid w:val="00662643"/>
    <w:rsid w:val="00664012"/>
    <w:rsid w:val="00671A04"/>
    <w:rsid w:val="00671BB9"/>
    <w:rsid w:val="0067284D"/>
    <w:rsid w:val="00673875"/>
    <w:rsid w:val="006738CC"/>
    <w:rsid w:val="00673DB4"/>
    <w:rsid w:val="00674FF0"/>
    <w:rsid w:val="00676A9F"/>
    <w:rsid w:val="00680DB9"/>
    <w:rsid w:val="0069058D"/>
    <w:rsid w:val="006936F9"/>
    <w:rsid w:val="0069397C"/>
    <w:rsid w:val="00695FAD"/>
    <w:rsid w:val="006964E4"/>
    <w:rsid w:val="006A07A7"/>
    <w:rsid w:val="006A109B"/>
    <w:rsid w:val="006A6CAE"/>
    <w:rsid w:val="006B07C5"/>
    <w:rsid w:val="006B2AB4"/>
    <w:rsid w:val="006B2DF6"/>
    <w:rsid w:val="006B3A18"/>
    <w:rsid w:val="006C0888"/>
    <w:rsid w:val="006C0B9C"/>
    <w:rsid w:val="006C27F0"/>
    <w:rsid w:val="006C5358"/>
    <w:rsid w:val="006C7AFF"/>
    <w:rsid w:val="006D62CD"/>
    <w:rsid w:val="006D7668"/>
    <w:rsid w:val="006D7820"/>
    <w:rsid w:val="006E01A7"/>
    <w:rsid w:val="006E061B"/>
    <w:rsid w:val="006F412A"/>
    <w:rsid w:val="00701524"/>
    <w:rsid w:val="00713EDF"/>
    <w:rsid w:val="00716621"/>
    <w:rsid w:val="00717037"/>
    <w:rsid w:val="007170AE"/>
    <w:rsid w:val="00720154"/>
    <w:rsid w:val="007313E9"/>
    <w:rsid w:val="00733A45"/>
    <w:rsid w:val="00736C20"/>
    <w:rsid w:val="00743B77"/>
    <w:rsid w:val="007539E7"/>
    <w:rsid w:val="007547C1"/>
    <w:rsid w:val="0076064B"/>
    <w:rsid w:val="007645F3"/>
    <w:rsid w:val="007649AF"/>
    <w:rsid w:val="00772AFF"/>
    <w:rsid w:val="00772CA1"/>
    <w:rsid w:val="00775719"/>
    <w:rsid w:val="007848E8"/>
    <w:rsid w:val="00792115"/>
    <w:rsid w:val="007933DC"/>
    <w:rsid w:val="00794D2B"/>
    <w:rsid w:val="00796B8D"/>
    <w:rsid w:val="007A20F1"/>
    <w:rsid w:val="007A2409"/>
    <w:rsid w:val="007A4181"/>
    <w:rsid w:val="007A4728"/>
    <w:rsid w:val="007B434D"/>
    <w:rsid w:val="007C0064"/>
    <w:rsid w:val="007C6A29"/>
    <w:rsid w:val="007D65B1"/>
    <w:rsid w:val="007E02C8"/>
    <w:rsid w:val="007E03D7"/>
    <w:rsid w:val="007E0929"/>
    <w:rsid w:val="007E1C43"/>
    <w:rsid w:val="007E5CB6"/>
    <w:rsid w:val="007F2525"/>
    <w:rsid w:val="007F66E5"/>
    <w:rsid w:val="00800BA0"/>
    <w:rsid w:val="008029C1"/>
    <w:rsid w:val="0080621E"/>
    <w:rsid w:val="00811E0B"/>
    <w:rsid w:val="0081274D"/>
    <w:rsid w:val="008138D1"/>
    <w:rsid w:val="00815C5E"/>
    <w:rsid w:val="00817206"/>
    <w:rsid w:val="00820042"/>
    <w:rsid w:val="00822A58"/>
    <w:rsid w:val="00823384"/>
    <w:rsid w:val="00825CA8"/>
    <w:rsid w:val="0082659C"/>
    <w:rsid w:val="00830439"/>
    <w:rsid w:val="00833E64"/>
    <w:rsid w:val="00836C93"/>
    <w:rsid w:val="00836CF8"/>
    <w:rsid w:val="00840193"/>
    <w:rsid w:val="0084176D"/>
    <w:rsid w:val="00841CBF"/>
    <w:rsid w:val="0085006B"/>
    <w:rsid w:val="00850832"/>
    <w:rsid w:val="00855D2E"/>
    <w:rsid w:val="00861B74"/>
    <w:rsid w:val="00867D8B"/>
    <w:rsid w:val="00871F17"/>
    <w:rsid w:val="00873F63"/>
    <w:rsid w:val="00876BFC"/>
    <w:rsid w:val="008775F6"/>
    <w:rsid w:val="008824FC"/>
    <w:rsid w:val="00886AEC"/>
    <w:rsid w:val="00890A3E"/>
    <w:rsid w:val="0089229F"/>
    <w:rsid w:val="008933E1"/>
    <w:rsid w:val="008A075A"/>
    <w:rsid w:val="008A1B63"/>
    <w:rsid w:val="008B2B0D"/>
    <w:rsid w:val="008B2F86"/>
    <w:rsid w:val="008C24ED"/>
    <w:rsid w:val="008C4A0E"/>
    <w:rsid w:val="008C4EB3"/>
    <w:rsid w:val="008C6E51"/>
    <w:rsid w:val="008D0C4B"/>
    <w:rsid w:val="008D4D58"/>
    <w:rsid w:val="008D4E02"/>
    <w:rsid w:val="008E1ABC"/>
    <w:rsid w:val="008E2EA1"/>
    <w:rsid w:val="008E5C93"/>
    <w:rsid w:val="008F22D3"/>
    <w:rsid w:val="00901C9F"/>
    <w:rsid w:val="00904FB6"/>
    <w:rsid w:val="0090597B"/>
    <w:rsid w:val="00911AD3"/>
    <w:rsid w:val="0092499E"/>
    <w:rsid w:val="00925648"/>
    <w:rsid w:val="009259A7"/>
    <w:rsid w:val="009265AD"/>
    <w:rsid w:val="00927403"/>
    <w:rsid w:val="00927B76"/>
    <w:rsid w:val="00927CC0"/>
    <w:rsid w:val="00931666"/>
    <w:rsid w:val="00933A2A"/>
    <w:rsid w:val="00935DF7"/>
    <w:rsid w:val="009368CE"/>
    <w:rsid w:val="0093691A"/>
    <w:rsid w:val="009427E7"/>
    <w:rsid w:val="009449C4"/>
    <w:rsid w:val="00950446"/>
    <w:rsid w:val="00950C3D"/>
    <w:rsid w:val="00951882"/>
    <w:rsid w:val="00954F4D"/>
    <w:rsid w:val="00955234"/>
    <w:rsid w:val="009574B3"/>
    <w:rsid w:val="00957BAD"/>
    <w:rsid w:val="00973AFB"/>
    <w:rsid w:val="009778A9"/>
    <w:rsid w:val="009810F7"/>
    <w:rsid w:val="00982B6D"/>
    <w:rsid w:val="009871A1"/>
    <w:rsid w:val="00987B9F"/>
    <w:rsid w:val="00990E8C"/>
    <w:rsid w:val="00995595"/>
    <w:rsid w:val="00997611"/>
    <w:rsid w:val="009A035F"/>
    <w:rsid w:val="009A14BD"/>
    <w:rsid w:val="009A5675"/>
    <w:rsid w:val="009A69AA"/>
    <w:rsid w:val="009B1C6E"/>
    <w:rsid w:val="009B2C22"/>
    <w:rsid w:val="009B43AC"/>
    <w:rsid w:val="009B60D5"/>
    <w:rsid w:val="009C447C"/>
    <w:rsid w:val="009C6025"/>
    <w:rsid w:val="009D1CED"/>
    <w:rsid w:val="009D665F"/>
    <w:rsid w:val="009D79C1"/>
    <w:rsid w:val="009E6AA3"/>
    <w:rsid w:val="009F2AA0"/>
    <w:rsid w:val="009F484E"/>
    <w:rsid w:val="009F7E5F"/>
    <w:rsid w:val="00A07968"/>
    <w:rsid w:val="00A10512"/>
    <w:rsid w:val="00A1435D"/>
    <w:rsid w:val="00A15FA6"/>
    <w:rsid w:val="00A22D0A"/>
    <w:rsid w:val="00A3038F"/>
    <w:rsid w:val="00A37288"/>
    <w:rsid w:val="00A43FB4"/>
    <w:rsid w:val="00A47E9B"/>
    <w:rsid w:val="00A51FD3"/>
    <w:rsid w:val="00A52F52"/>
    <w:rsid w:val="00A62E10"/>
    <w:rsid w:val="00A6460C"/>
    <w:rsid w:val="00A6682D"/>
    <w:rsid w:val="00A778AB"/>
    <w:rsid w:val="00A8147A"/>
    <w:rsid w:val="00A84EC9"/>
    <w:rsid w:val="00A87BCE"/>
    <w:rsid w:val="00A923BD"/>
    <w:rsid w:val="00A93826"/>
    <w:rsid w:val="00A94E0E"/>
    <w:rsid w:val="00AA4E82"/>
    <w:rsid w:val="00AB1A0E"/>
    <w:rsid w:val="00AB3F61"/>
    <w:rsid w:val="00AB4A58"/>
    <w:rsid w:val="00AB509E"/>
    <w:rsid w:val="00AC4C2E"/>
    <w:rsid w:val="00AC60E5"/>
    <w:rsid w:val="00AD18DD"/>
    <w:rsid w:val="00AD1AA8"/>
    <w:rsid w:val="00AE6B6A"/>
    <w:rsid w:val="00AE6D18"/>
    <w:rsid w:val="00AF1F8B"/>
    <w:rsid w:val="00B00F17"/>
    <w:rsid w:val="00B0258C"/>
    <w:rsid w:val="00B0419C"/>
    <w:rsid w:val="00B053B1"/>
    <w:rsid w:val="00B06043"/>
    <w:rsid w:val="00B07587"/>
    <w:rsid w:val="00B10551"/>
    <w:rsid w:val="00B12324"/>
    <w:rsid w:val="00B1321E"/>
    <w:rsid w:val="00B15572"/>
    <w:rsid w:val="00B15D19"/>
    <w:rsid w:val="00B15F7A"/>
    <w:rsid w:val="00B16B0A"/>
    <w:rsid w:val="00B21212"/>
    <w:rsid w:val="00B21AF6"/>
    <w:rsid w:val="00B24CC2"/>
    <w:rsid w:val="00B323DC"/>
    <w:rsid w:val="00B32D0A"/>
    <w:rsid w:val="00B3634D"/>
    <w:rsid w:val="00B50733"/>
    <w:rsid w:val="00B53ACF"/>
    <w:rsid w:val="00B53F77"/>
    <w:rsid w:val="00B56533"/>
    <w:rsid w:val="00B66361"/>
    <w:rsid w:val="00B71AA1"/>
    <w:rsid w:val="00B73BD6"/>
    <w:rsid w:val="00B82AB3"/>
    <w:rsid w:val="00B840ED"/>
    <w:rsid w:val="00B853CB"/>
    <w:rsid w:val="00B9138E"/>
    <w:rsid w:val="00B91497"/>
    <w:rsid w:val="00BA1608"/>
    <w:rsid w:val="00BA2902"/>
    <w:rsid w:val="00BA299B"/>
    <w:rsid w:val="00BB2707"/>
    <w:rsid w:val="00BB62BE"/>
    <w:rsid w:val="00BB779E"/>
    <w:rsid w:val="00BC0773"/>
    <w:rsid w:val="00BC2667"/>
    <w:rsid w:val="00BD1544"/>
    <w:rsid w:val="00BE3BBC"/>
    <w:rsid w:val="00BE4196"/>
    <w:rsid w:val="00BF05CB"/>
    <w:rsid w:val="00BF2C4C"/>
    <w:rsid w:val="00BF442B"/>
    <w:rsid w:val="00C00671"/>
    <w:rsid w:val="00C00B46"/>
    <w:rsid w:val="00C02DC4"/>
    <w:rsid w:val="00C03592"/>
    <w:rsid w:val="00C04AD7"/>
    <w:rsid w:val="00C07077"/>
    <w:rsid w:val="00C07D02"/>
    <w:rsid w:val="00C140EB"/>
    <w:rsid w:val="00C15E2D"/>
    <w:rsid w:val="00C175EC"/>
    <w:rsid w:val="00C20B90"/>
    <w:rsid w:val="00C23865"/>
    <w:rsid w:val="00C25766"/>
    <w:rsid w:val="00C25FA0"/>
    <w:rsid w:val="00C25FC4"/>
    <w:rsid w:val="00C27333"/>
    <w:rsid w:val="00C331A0"/>
    <w:rsid w:val="00C35409"/>
    <w:rsid w:val="00C41068"/>
    <w:rsid w:val="00C44FB3"/>
    <w:rsid w:val="00C51F39"/>
    <w:rsid w:val="00C600FD"/>
    <w:rsid w:val="00C61FE8"/>
    <w:rsid w:val="00C62E1C"/>
    <w:rsid w:val="00C7068A"/>
    <w:rsid w:val="00C70827"/>
    <w:rsid w:val="00C7141D"/>
    <w:rsid w:val="00C76370"/>
    <w:rsid w:val="00C76AF0"/>
    <w:rsid w:val="00C816DA"/>
    <w:rsid w:val="00C92870"/>
    <w:rsid w:val="00C9499F"/>
    <w:rsid w:val="00C973FD"/>
    <w:rsid w:val="00CA0854"/>
    <w:rsid w:val="00CB7522"/>
    <w:rsid w:val="00CC02C7"/>
    <w:rsid w:val="00CC3309"/>
    <w:rsid w:val="00CC5C1F"/>
    <w:rsid w:val="00CC76BB"/>
    <w:rsid w:val="00CD63E4"/>
    <w:rsid w:val="00CE4028"/>
    <w:rsid w:val="00CE726B"/>
    <w:rsid w:val="00CF4B7F"/>
    <w:rsid w:val="00CF4D36"/>
    <w:rsid w:val="00D07D92"/>
    <w:rsid w:val="00D14B7D"/>
    <w:rsid w:val="00D2032E"/>
    <w:rsid w:val="00D20F29"/>
    <w:rsid w:val="00D22C07"/>
    <w:rsid w:val="00D308E4"/>
    <w:rsid w:val="00D40301"/>
    <w:rsid w:val="00D408CB"/>
    <w:rsid w:val="00D41206"/>
    <w:rsid w:val="00D53988"/>
    <w:rsid w:val="00D57F5D"/>
    <w:rsid w:val="00D61910"/>
    <w:rsid w:val="00D67E31"/>
    <w:rsid w:val="00D71991"/>
    <w:rsid w:val="00D75695"/>
    <w:rsid w:val="00D75C80"/>
    <w:rsid w:val="00D835A8"/>
    <w:rsid w:val="00D84E80"/>
    <w:rsid w:val="00D86EC9"/>
    <w:rsid w:val="00D87A66"/>
    <w:rsid w:val="00D94F0D"/>
    <w:rsid w:val="00D965DC"/>
    <w:rsid w:val="00DB1D79"/>
    <w:rsid w:val="00DB2EBD"/>
    <w:rsid w:val="00DB6841"/>
    <w:rsid w:val="00DB6F6D"/>
    <w:rsid w:val="00DC5132"/>
    <w:rsid w:val="00DC628E"/>
    <w:rsid w:val="00DC7D81"/>
    <w:rsid w:val="00DD2630"/>
    <w:rsid w:val="00DD535E"/>
    <w:rsid w:val="00DE3647"/>
    <w:rsid w:val="00DE3E60"/>
    <w:rsid w:val="00DE6ABE"/>
    <w:rsid w:val="00DF1F1D"/>
    <w:rsid w:val="00DF410B"/>
    <w:rsid w:val="00DF4598"/>
    <w:rsid w:val="00E0233E"/>
    <w:rsid w:val="00E02421"/>
    <w:rsid w:val="00E02776"/>
    <w:rsid w:val="00E11340"/>
    <w:rsid w:val="00E12A40"/>
    <w:rsid w:val="00E21AE5"/>
    <w:rsid w:val="00E2414B"/>
    <w:rsid w:val="00E252C9"/>
    <w:rsid w:val="00E27A28"/>
    <w:rsid w:val="00E27D11"/>
    <w:rsid w:val="00E27D7F"/>
    <w:rsid w:val="00E30EBC"/>
    <w:rsid w:val="00E37DF8"/>
    <w:rsid w:val="00E37E38"/>
    <w:rsid w:val="00E41B63"/>
    <w:rsid w:val="00E41F56"/>
    <w:rsid w:val="00E4209B"/>
    <w:rsid w:val="00E43DE3"/>
    <w:rsid w:val="00E51B00"/>
    <w:rsid w:val="00E5298B"/>
    <w:rsid w:val="00E542D5"/>
    <w:rsid w:val="00E553D5"/>
    <w:rsid w:val="00E562CE"/>
    <w:rsid w:val="00E637DE"/>
    <w:rsid w:val="00E754DA"/>
    <w:rsid w:val="00E83179"/>
    <w:rsid w:val="00E870A5"/>
    <w:rsid w:val="00E92CD8"/>
    <w:rsid w:val="00EA6D6E"/>
    <w:rsid w:val="00EA7592"/>
    <w:rsid w:val="00EB4448"/>
    <w:rsid w:val="00EB563B"/>
    <w:rsid w:val="00EB5ADA"/>
    <w:rsid w:val="00EC3CCC"/>
    <w:rsid w:val="00ED1294"/>
    <w:rsid w:val="00ED5800"/>
    <w:rsid w:val="00EE453F"/>
    <w:rsid w:val="00EF0DD3"/>
    <w:rsid w:val="00EF3B60"/>
    <w:rsid w:val="00EF3EC2"/>
    <w:rsid w:val="00EF40CF"/>
    <w:rsid w:val="00EF4533"/>
    <w:rsid w:val="00F059E5"/>
    <w:rsid w:val="00F10C40"/>
    <w:rsid w:val="00F13CCE"/>
    <w:rsid w:val="00F14473"/>
    <w:rsid w:val="00F25495"/>
    <w:rsid w:val="00F25D58"/>
    <w:rsid w:val="00F26140"/>
    <w:rsid w:val="00F27DB4"/>
    <w:rsid w:val="00F32379"/>
    <w:rsid w:val="00F32A08"/>
    <w:rsid w:val="00F34D1A"/>
    <w:rsid w:val="00F35D45"/>
    <w:rsid w:val="00F37C3D"/>
    <w:rsid w:val="00F40A07"/>
    <w:rsid w:val="00F4267D"/>
    <w:rsid w:val="00F4373A"/>
    <w:rsid w:val="00F4394C"/>
    <w:rsid w:val="00F450AD"/>
    <w:rsid w:val="00F510EE"/>
    <w:rsid w:val="00F53487"/>
    <w:rsid w:val="00F63BEA"/>
    <w:rsid w:val="00F677AA"/>
    <w:rsid w:val="00F7283B"/>
    <w:rsid w:val="00F867B3"/>
    <w:rsid w:val="00F87C44"/>
    <w:rsid w:val="00F90271"/>
    <w:rsid w:val="00F91AB9"/>
    <w:rsid w:val="00FA4B19"/>
    <w:rsid w:val="00FB7CEA"/>
    <w:rsid w:val="00FC13C6"/>
    <w:rsid w:val="00FC2C6B"/>
    <w:rsid w:val="00FC30A0"/>
    <w:rsid w:val="00FD1006"/>
    <w:rsid w:val="00FD50DD"/>
    <w:rsid w:val="00FD7E75"/>
    <w:rsid w:val="00FE3F21"/>
    <w:rsid w:val="00FE5BD1"/>
    <w:rsid w:val="00FF4C14"/>
    <w:rsid w:val="00FF739A"/>
    <w:rsid w:val="00FF76DA"/>
    <w:rsid w:val="1E394FAB"/>
    <w:rsid w:val="2220EB61"/>
    <w:rsid w:val="26C2A4E0"/>
    <w:rsid w:val="35994F8F"/>
    <w:rsid w:val="5B06B385"/>
    <w:rsid w:val="5F9F0691"/>
    <w:rsid w:val="61EA4BAD"/>
    <w:rsid w:val="6F794FE2"/>
    <w:rsid w:val="7741D93A"/>
    <w:rsid w:val="788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AD220"/>
  <w15:chartTrackingRefBased/>
  <w15:docId w15:val="{4A7164C4-88C9-4089-BC4A-951F72E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CCC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A6CAE"/>
    <w:pPr>
      <w:spacing w:before="480" w:after="240"/>
      <w:jc w:val="both"/>
      <w:outlineLvl w:val="0"/>
    </w:pPr>
    <w:rPr>
      <w:rFonts w:ascii="Tms Rmn" w:hAnsi="Tms Rmn" w:cs="Times New Roman"/>
      <w:b/>
      <w:caps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17F"/>
    <w:pPr>
      <w:keepNext/>
      <w:spacing w:before="240" w:after="60"/>
      <w:outlineLvl w:val="1"/>
    </w:pPr>
    <w:rPr>
      <w:b/>
      <w:bCs/>
      <w:iCs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3C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3C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EC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3CCC"/>
  </w:style>
  <w:style w:type="paragraph" w:customStyle="1" w:styleId="Indent1">
    <w:name w:val="Indent 1"/>
    <w:basedOn w:val="Normal"/>
    <w:rsid w:val="006A6CAE"/>
    <w:pPr>
      <w:ind w:left="720" w:hanging="720"/>
      <w:jc w:val="both"/>
    </w:pPr>
    <w:rPr>
      <w:rFonts w:ascii="Tms Rmn" w:hAnsi="Tms Rmn" w:cs="Times New Roman"/>
      <w:sz w:val="22"/>
      <w:szCs w:val="20"/>
      <w:lang w:eastAsia="en-US"/>
    </w:rPr>
  </w:style>
  <w:style w:type="paragraph" w:styleId="BodyTextIndent">
    <w:name w:val="Body Text Indent"/>
    <w:basedOn w:val="Normal"/>
    <w:rsid w:val="006A6CAE"/>
    <w:pPr>
      <w:ind w:left="720" w:hanging="720"/>
      <w:jc w:val="both"/>
    </w:pPr>
    <w:rPr>
      <w:rFonts w:ascii="Tms Rmn" w:hAnsi="Tms Rmn" w:cs="Times New Roman"/>
      <w:szCs w:val="20"/>
      <w:lang w:eastAsia="en-US"/>
    </w:rPr>
  </w:style>
  <w:style w:type="paragraph" w:styleId="BalloonText">
    <w:name w:val="Balloon Text"/>
    <w:basedOn w:val="Normal"/>
    <w:semiHidden/>
    <w:rsid w:val="00EA7592"/>
    <w:rPr>
      <w:rFonts w:ascii="Tahoma" w:hAnsi="Tahoma" w:cs="Tahoma"/>
      <w:sz w:val="16"/>
      <w:szCs w:val="16"/>
    </w:rPr>
  </w:style>
  <w:style w:type="character" w:styleId="Hyperlink">
    <w:name w:val="Hyperlink"/>
    <w:rsid w:val="00ED1294"/>
    <w:rPr>
      <w:color w:val="0000FF"/>
      <w:u w:val="single"/>
    </w:rPr>
  </w:style>
  <w:style w:type="character" w:styleId="FollowedHyperlink">
    <w:name w:val="FollowedHyperlink"/>
    <w:rsid w:val="00595E4C"/>
    <w:rPr>
      <w:color w:val="800080"/>
      <w:u w:val="single"/>
    </w:rPr>
  </w:style>
  <w:style w:type="paragraph" w:styleId="DocumentMap">
    <w:name w:val="Document Map"/>
    <w:basedOn w:val="Normal"/>
    <w:semiHidden/>
    <w:rsid w:val="003274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D7706"/>
    <w:pPr>
      <w:ind w:left="720"/>
    </w:pPr>
    <w:rPr>
      <w:rFonts w:ascii="Times New Roman" w:hAnsi="Times New Roman" w:cs="Times New Roman"/>
      <w:lang w:eastAsia="en-US"/>
    </w:rPr>
  </w:style>
  <w:style w:type="character" w:customStyle="1" w:styleId="FooterChar">
    <w:name w:val="Footer Char"/>
    <w:link w:val="Footer"/>
    <w:uiPriority w:val="99"/>
    <w:rsid w:val="00B10551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4FF0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146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64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64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4643B"/>
    <w:rPr>
      <w:b/>
      <w:bCs/>
    </w:rPr>
  </w:style>
  <w:style w:type="character" w:customStyle="1" w:styleId="CommentSubjectChar">
    <w:name w:val="Comment Subject Char"/>
    <w:link w:val="CommentSubject"/>
    <w:rsid w:val="0014643B"/>
    <w:rPr>
      <w:rFonts w:ascii="Arial" w:hAnsi="Arial" w:cs="Arial"/>
      <w:b/>
      <w:bCs/>
    </w:rPr>
  </w:style>
  <w:style w:type="character" w:customStyle="1" w:styleId="HeaderChar">
    <w:name w:val="Header Char"/>
    <w:link w:val="Header"/>
    <w:uiPriority w:val="99"/>
    <w:rsid w:val="008D4E02"/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link w:val="BodyText3Char"/>
    <w:rsid w:val="008E5C9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E5C93"/>
    <w:rPr>
      <w:rFonts w:ascii="Arial" w:hAnsi="Arial" w:cs="Arial"/>
      <w:sz w:val="16"/>
      <w:szCs w:val="16"/>
    </w:rPr>
  </w:style>
  <w:style w:type="paragraph" w:styleId="Revision">
    <w:name w:val="Revision"/>
    <w:hidden/>
    <w:uiPriority w:val="71"/>
    <w:rsid w:val="000F15F7"/>
    <w:rPr>
      <w:rFonts w:ascii="Arial" w:hAnsi="Arial" w:cs="Arial"/>
      <w:sz w:val="24"/>
      <w:szCs w:val="24"/>
      <w:lang w:val="en-GB" w:eastAsia="en-GB"/>
    </w:rPr>
  </w:style>
  <w:style w:type="paragraph" w:customStyle="1" w:styleId="Single">
    <w:name w:val="Single"/>
    <w:basedOn w:val="Normal"/>
    <w:rsid w:val="007B434D"/>
    <w:rPr>
      <w:rFonts w:ascii="Univers" w:hAnsi="Univers" w:cs="Times New Roman"/>
      <w:szCs w:val="20"/>
      <w:lang w:eastAsia="en-US"/>
    </w:rPr>
  </w:style>
  <w:style w:type="paragraph" w:customStyle="1" w:styleId="paragraph">
    <w:name w:val="paragraph"/>
    <w:basedOn w:val="Normal"/>
    <w:rsid w:val="005E348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5E348D"/>
  </w:style>
  <w:style w:type="character" w:customStyle="1" w:styleId="Heading2Char">
    <w:name w:val="Heading 2 Char"/>
    <w:basedOn w:val="DefaultParagraphFont"/>
    <w:link w:val="Heading2"/>
    <w:rsid w:val="00625330"/>
    <w:rPr>
      <w:rFonts w:ascii="Arial" w:hAnsi="Arial" w:cs="Arial"/>
      <w:b/>
      <w:bCs/>
      <w:iCs/>
      <w:color w:val="4472C4" w:themeColor="accent1"/>
      <w:sz w:val="28"/>
      <w:szCs w:val="28"/>
      <w:lang w:val="en-GB" w:eastAsia="en-GB"/>
    </w:rPr>
  </w:style>
  <w:style w:type="paragraph" w:styleId="NoSpacing">
    <w:name w:val="No Spacing"/>
    <w:uiPriority w:val="1"/>
    <w:qFormat/>
    <w:rsid w:val="002E0704"/>
    <w:rPr>
      <w:rFonts w:ascii="Lato" w:eastAsiaTheme="minorHAnsi" w:hAnsi="Lato" w:cs="Calibri"/>
      <w:color w:val="000000"/>
      <w:kern w:val="3"/>
      <w:sz w:val="22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DE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tworidingscf.org.uk/how-to-appl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tworidingscf.org.uk/frequently-asked-ques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oridingscf.org.uk/how-to-appl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chrome-extension://efaidnbmnnnibpcajpcglclefindmkaj/https:/www.tworidingscf.org.uk/wp-content/uploads/2019/03/Full-Cost-Recovery.pd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7f199a-b551-4d7c-90e5-948fbaf98f9e">
      <UserInfo>
        <DisplayName>Harriet Johnson</DisplayName>
        <AccountId>116</AccountId>
        <AccountType/>
      </UserInfo>
      <UserInfo>
        <DisplayName>Jan  Garrill</DisplayName>
        <AccountId>18</AccountId>
        <AccountType/>
      </UserInfo>
    </SharedWithUsers>
    <lcf76f155ced4ddcb4097134ff3c332f xmlns="3d3f5525-c00b-41d3-bea2-993194911189">
      <Terms xmlns="http://schemas.microsoft.com/office/infopath/2007/PartnerControls"/>
    </lcf76f155ced4ddcb4097134ff3c332f>
    <TaxCatchAll xmlns="2a7f199a-b551-4d7c-90e5-948fbaf98f9e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942595EE8641B98316D10C544FE8" ma:contentTypeVersion="20" ma:contentTypeDescription="Create a new document." ma:contentTypeScope="" ma:versionID="0ff4a9293486551b33ad74095a77e566">
  <xsd:schema xmlns:xsd="http://www.w3.org/2001/XMLSchema" xmlns:xs="http://www.w3.org/2001/XMLSchema" xmlns:p="http://schemas.microsoft.com/office/2006/metadata/properties" xmlns:ns2="2a7f199a-b551-4d7c-90e5-948fbaf98f9e" xmlns:ns3="3d3f5525-c00b-41d3-bea2-993194911189" targetNamespace="http://schemas.microsoft.com/office/2006/metadata/properties" ma:root="true" ma:fieldsID="fe784d397bd78b2d0c96e45039fe356a" ns2:_="" ns3:_="">
    <xsd:import namespace="2a7f199a-b551-4d7c-90e5-948fbaf98f9e"/>
    <xsd:import namespace="3d3f5525-c00b-41d3-bea2-9931949111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f199a-b551-4d7c-90e5-948fbaf98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73d134-f205-442d-ac6b-7e4bb83a7996}" ma:internalName="TaxCatchAll" ma:showField="CatchAllData" ma:web="2a7f199a-b551-4d7c-90e5-948fbaf98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f5525-c00b-41d3-bea2-993194911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c41071-6f42-466d-8f14-3dd7c31aa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8C895-D6B7-4287-B65C-3104DCDE3B38}">
  <ds:schemaRefs>
    <ds:schemaRef ds:uri="http://schemas.microsoft.com/office/2006/metadata/properties"/>
    <ds:schemaRef ds:uri="http://schemas.microsoft.com/office/infopath/2007/PartnerControls"/>
    <ds:schemaRef ds:uri="2a7f199a-b551-4d7c-90e5-948fbaf98f9e"/>
    <ds:schemaRef ds:uri="3d3f5525-c00b-41d3-bea2-993194911189"/>
  </ds:schemaRefs>
</ds:datastoreItem>
</file>

<file path=customXml/itemProps2.xml><?xml version="1.0" encoding="utf-8"?>
<ds:datastoreItem xmlns:ds="http://schemas.openxmlformats.org/officeDocument/2006/customXml" ds:itemID="{364B8A93-14CB-40D3-A008-488800ECB9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F54784-0A6E-493E-A220-5EF671C09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59695E-0A6C-4EF4-A41E-DDFA2477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f199a-b551-4d7c-90e5-948fbaf98f9e"/>
    <ds:schemaRef ds:uri="3d3f5525-c00b-41d3-bea2-993194911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808AC4-A1E5-4988-BA9F-C90503C75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&amp; North Yorkshire Community Foundation</Company>
  <LinksUpToDate>false</LinksUpToDate>
  <CharactersWithSpaces>6791</CharactersWithSpaces>
  <SharedDoc>false</SharedDoc>
  <HLinks>
    <vt:vector size="24" baseType="variant">
      <vt:variant>
        <vt:i4>1835036</vt:i4>
      </vt:variant>
      <vt:variant>
        <vt:i4>9</vt:i4>
      </vt:variant>
      <vt:variant>
        <vt:i4>0</vt:i4>
      </vt:variant>
      <vt:variant>
        <vt:i4>5</vt:i4>
      </vt:variant>
      <vt:variant>
        <vt:lpwstr>https://tworidingscf.org.uk/how-to-apply/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https://tworidingscf.org.uk/frequently-asked-questions/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https://tworidingscf.org.uk/how-to-apply/</vt:lpwstr>
      </vt:variant>
      <vt:variant>
        <vt:lpwstr/>
      </vt:variant>
      <vt:variant>
        <vt:i4>4849672</vt:i4>
      </vt:variant>
      <vt:variant>
        <vt:i4>0</vt:i4>
      </vt:variant>
      <vt:variant>
        <vt:i4>0</vt:i4>
      </vt:variant>
      <vt:variant>
        <vt:i4>5</vt:i4>
      </vt:variant>
      <vt:variant>
        <vt:lpwstr>chrome-extension://efaidnbmnnnibpcajpcglclefindmkaj/https:/www.tworidingscf.org.uk/wp-content/uploads/2019/03/Full-Cost-Recovery.pdf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Beyer</dc:creator>
  <cp:keywords/>
  <cp:lastModifiedBy>Sarah Norman</cp:lastModifiedBy>
  <cp:revision>294</cp:revision>
  <cp:lastPrinted>2021-11-02T03:48:00Z</cp:lastPrinted>
  <dcterms:created xsi:type="dcterms:W3CDTF">2021-11-01T22:49:00Z</dcterms:created>
  <dcterms:modified xsi:type="dcterms:W3CDTF">2026-06-16T14:53:00Z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0x01010047AE942595EE8641B98316D10C544FE8</vt:lpwstr>
  </property>
  <property fmtid="{D5CDD505-2E9C-101B-9397-08002B2CF9AE}" pid="3" name="display_urn:schemas-microsoft-com:office:office#SharedWithUsers">
    <vt:lpwstr>Harriet Johnson;Jan  Garrill</vt:lpwstr>
  </property>
  <property fmtid="{D5CDD505-2E9C-101B-9397-08002B2CF9AE}" pid="4" name="SharedWithUsers">
    <vt:lpwstr>116;#Harriet Johnson;#18;#Jan  Garrill</vt:lpwstr>
  </property>
  <property fmtid="{D5CDD505-2E9C-101B-9397-08002B2CF9AE}" pid="5" name="MediaServiceImageTags">
    <vt:lpwstr/>
  </property>
</Properties>
</file>